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color w:val="1F4E79"/>
          <w:sz w:val="52"/>
        </w:rPr>
        <w:t>DIGITAL COMPANION</w:t>
      </w:r>
    </w:p>
    <w:p>
      <w:pPr>
        <w:jc w:val="center"/>
      </w:pPr>
      <w:r>
        <w:rPr>
          <w:rFonts w:ascii="Times New Roman" w:hAnsi="Times New Roman"/>
          <w:b/>
          <w:color w:val="1F1F1F"/>
          <w:sz w:val="44"/>
        </w:rPr>
        <w:t>DARI UANG MENJADI NILAI</w:t>
      </w:r>
    </w:p>
    <w:p>
      <w:pPr>
        <w:jc w:val="center"/>
      </w:pPr>
      <w:r>
        <w:rPr>
          <w:rFonts w:ascii="Times New Roman" w:hAnsi="Times New Roman"/>
          <w:color w:val="A67C00"/>
          <w:sz w:val="26"/>
        </w:rPr>
        <w:t>Data • Metodologi • Formula • Worksheet • Checklist • Dashboard • Kalkulator</w:t>
      </w:r>
    </w:p>
    <w:p/>
    <w:p>
      <w:pPr>
        <w:jc w:val="center"/>
      </w:pPr>
      <w:r>
        <w:rPr>
          <w:rFonts w:ascii="Times New Roman" w:hAnsi="Times New Roman"/>
          <w:b/>
          <w:color w:val="606060"/>
          <w:sz w:val="24"/>
        </w:rPr>
        <w:t>V3 FINAL CONTENT MASTER - 7 Oktober 2026</w:t>
      </w:r>
    </w:p>
    <w:p/>
    <w:tbl>
      <w:tblPr>
        <w:tblW w:type="auto" w:w="0"/>
        <w:jc w:val="center"/>
        <w:tblLook w:firstColumn="1" w:firstRow="1" w:lastColumn="0" w:lastRow="0" w:noHBand="0" w:noVBand="1" w:val="04A0"/>
      </w:tblPr>
      <w:tblGrid>
        <w:gridCol w:w="9972"/>
      </w:tblGrid>
      <w:tr>
        <w:tc>
          <w:tcPr>
            <w:tcW w:type="dxa" w:w="9972"/>
            <w:shd w:fill="EAF2F8"/>
          </w:tcPr>
          <w:p>
            <w:r>
              <w:rPr>
                <w:rFonts w:ascii="Times New Roman" w:hAnsi="Times New Roman"/>
                <w:b/>
                <w:color w:val="1F4E79"/>
                <w:sz w:val="23"/>
              </w:rPr>
              <w:t>Prinsip</w:t>
              <w:br/>
            </w:r>
            <w:r>
              <w:rPr>
                <w:rFonts w:ascii="Times New Roman" w:hAnsi="Times New Roman"/>
                <w:color w:val="1F1F1F"/>
                <w:sz w:val="22"/>
              </w:rPr>
              <w:t>Digital Companion memperluas buku. Ia bukan pengganti buku. Untuk ilustrasi yang identitas dan angkanya dimodifikasi, Digital Companion tidak mengembalikan angka asli atau membuka identitas lembaga yang sengaja disamarkan.</w:t>
            </w:r>
          </w:p>
        </w:tc>
      </w:tr>
    </w:tbl>
    <w:p>
      <w:r>
        <w:br w:type="page"/>
      </w:r>
    </w:p>
    <w:p>
      <w:pPr>
        <w:pStyle w:val="Heading1"/>
      </w:pPr>
      <w:r>
        <w:t>00. START HERE - Cara Menggunakan Digital Companion</w:t>
      </w:r>
    </w:p>
    <w:p>
      <w:r>
        <w:rPr>
          <w:rFonts w:ascii="Times New Roman" w:hAnsi="Times New Roman"/>
          <w:b/>
          <w:i w:val="0"/>
          <w:color w:val="1F1F1F"/>
        </w:rPr>
        <w:t>Digital Companion disusun dalam tiga lapisan yang sama dengan buku:</w:t>
      </w:r>
    </w:p>
    <w:tbl>
      <w:tblPr>
        <w:tblStyle w:val="TableGrid"/>
        <w:tblW w:type="auto" w:w="0"/>
        <w:jc w:val="center"/>
        <w:tblLook w:firstColumn="1" w:firstRow="1" w:lastColumn="0" w:lastRow="0" w:noHBand="0" w:noVBand="1" w:val="04A0"/>
      </w:tblPr>
      <w:tblGrid>
        <w:gridCol w:w="3324"/>
        <w:gridCol w:w="3324"/>
        <w:gridCol w:w="3324"/>
      </w:tblGrid>
      <w:tr>
        <w:tc>
          <w:tcPr>
            <w:tcW w:type="dxa" w:w="1701"/>
            <w:shd w:fill="D9EAF7"/>
            <w:vAlign w:val="center"/>
          </w:tcPr>
          <w:p>
            <w:pPr>
              <w:jc w:val="center"/>
            </w:pPr>
            <w:r>
              <w:rPr>
                <w:rFonts w:ascii="Times New Roman" w:hAnsi="Times New Roman"/>
                <w:b/>
                <w:sz w:val="19"/>
              </w:rPr>
              <w:t>Lapisan</w:t>
            </w:r>
          </w:p>
        </w:tc>
        <w:tc>
          <w:tcPr>
            <w:tcW w:type="dxa" w:w="3402"/>
            <w:shd w:fill="D9EAF7"/>
            <w:vAlign w:val="center"/>
          </w:tcPr>
          <w:p>
            <w:pPr>
              <w:jc w:val="center"/>
            </w:pPr>
            <w:r>
              <w:rPr>
                <w:rFonts w:ascii="Times New Roman" w:hAnsi="Times New Roman"/>
                <w:b/>
                <w:sz w:val="19"/>
              </w:rPr>
              <w:t>Tujuan</w:t>
            </w:r>
          </w:p>
        </w:tc>
        <w:tc>
          <w:tcPr>
            <w:tcW w:type="dxa" w:w="4535"/>
            <w:shd w:fill="D9EAF7"/>
            <w:vAlign w:val="center"/>
          </w:tcPr>
          <w:p>
            <w:pPr>
              <w:jc w:val="center"/>
            </w:pPr>
            <w:r>
              <w:rPr>
                <w:rFonts w:ascii="Times New Roman" w:hAnsi="Times New Roman"/>
                <w:b/>
                <w:sz w:val="19"/>
              </w:rPr>
              <w:t>Isi</w:t>
            </w:r>
          </w:p>
        </w:tc>
      </w:tr>
      <w:tr>
        <w:tc>
          <w:tcPr>
            <w:tcW w:type="dxa" w:w="1701"/>
            <w:vAlign w:val="top"/>
          </w:tcPr>
          <w:p>
            <w:r>
              <w:rPr>
                <w:rFonts w:ascii="Times New Roman" w:hAnsi="Times New Roman"/>
                <w:sz w:val="19"/>
              </w:rPr>
              <w:t>READ</w:t>
            </w:r>
          </w:p>
        </w:tc>
        <w:tc>
          <w:tcPr>
            <w:tcW w:type="dxa" w:w="3402"/>
            <w:vAlign w:val="top"/>
          </w:tcPr>
          <w:p>
            <w:r>
              <w:rPr>
                <w:rFonts w:ascii="Times New Roman" w:hAnsi="Times New Roman"/>
                <w:sz w:val="19"/>
              </w:rPr>
              <w:t>Memahami pesan dan cara berpikir</w:t>
            </w:r>
          </w:p>
        </w:tc>
        <w:tc>
          <w:tcPr>
            <w:tcW w:type="dxa" w:w="4535"/>
            <w:vAlign w:val="top"/>
          </w:tcPr>
          <w:p>
            <w:r>
              <w:rPr>
                <w:rFonts w:ascii="Times New Roman" w:hAnsi="Times New Roman"/>
                <w:sz w:val="19"/>
              </w:rPr>
              <w:t>Buku utama.</w:t>
            </w:r>
          </w:p>
        </w:tc>
      </w:tr>
      <w:tr>
        <w:tc>
          <w:tcPr>
            <w:tcW w:type="dxa" w:w="1701"/>
            <w:vAlign w:val="top"/>
          </w:tcPr>
          <w:p>
            <w:r>
              <w:rPr>
                <w:rFonts w:ascii="Times New Roman" w:hAnsi="Times New Roman"/>
                <w:sz w:val="19"/>
              </w:rPr>
              <w:t>EXPLORE</w:t>
            </w:r>
          </w:p>
        </w:tc>
        <w:tc>
          <w:tcPr>
            <w:tcW w:type="dxa" w:w="3402"/>
            <w:vAlign w:val="top"/>
          </w:tcPr>
          <w:p>
            <w:r>
              <w:rPr>
                <w:rFonts w:ascii="Times New Roman" w:hAnsi="Times New Roman"/>
                <w:sz w:val="19"/>
              </w:rPr>
              <w:t>Menelusuri data, sumber, metodologi, dan rekonsiliasi</w:t>
            </w:r>
          </w:p>
        </w:tc>
        <w:tc>
          <w:tcPr>
            <w:tcW w:type="dxa" w:w="4535"/>
            <w:vAlign w:val="top"/>
          </w:tcPr>
          <w:p>
            <w:r>
              <w:rPr>
                <w:rFonts w:ascii="Times New Roman" w:hAnsi="Times New Roman"/>
                <w:sz w:val="19"/>
              </w:rPr>
              <w:t>Tabel teknis, formula, catatan metodologi, dan source map.</w:t>
            </w:r>
          </w:p>
        </w:tc>
      </w:tr>
      <w:tr>
        <w:tc>
          <w:tcPr>
            <w:tcW w:type="dxa" w:w="1701"/>
            <w:vAlign w:val="top"/>
          </w:tcPr>
          <w:p>
            <w:r>
              <w:rPr>
                <w:rFonts w:ascii="Times New Roman" w:hAnsi="Times New Roman"/>
                <w:sz w:val="19"/>
              </w:rPr>
              <w:t>USE</w:t>
            </w:r>
          </w:p>
        </w:tc>
        <w:tc>
          <w:tcPr>
            <w:tcW w:type="dxa" w:w="3402"/>
            <w:vAlign w:val="top"/>
          </w:tcPr>
          <w:p>
            <w:r>
              <w:rPr>
                <w:rFonts w:ascii="Times New Roman" w:hAnsi="Times New Roman"/>
                <w:sz w:val="19"/>
              </w:rPr>
              <w:t>Menerapkan kerangka pada kasus nyata</w:t>
            </w:r>
          </w:p>
        </w:tc>
        <w:tc>
          <w:tcPr>
            <w:tcW w:type="dxa" w:w="4535"/>
            <w:vAlign w:val="top"/>
          </w:tcPr>
          <w:p>
            <w:r>
              <w:rPr>
                <w:rFonts w:ascii="Times New Roman" w:hAnsi="Times New Roman"/>
                <w:sz w:val="19"/>
              </w:rPr>
              <w:t>Workbook, checklist, dashboard, dan kalkulator.</w:t>
            </w:r>
          </w:p>
        </w:tc>
      </w:tr>
    </w:tbl>
    <w:p/>
    <w:p>
      <w:pPr>
        <w:pStyle w:val="Heading2"/>
      </w:pPr>
      <w:r>
        <w:t>Aturan Data dan Anonimisasi</w:t>
      </w:r>
    </w:p>
    <w:tbl>
      <w:tblPr>
        <w:tblStyle w:val="TableGrid"/>
        <w:tblW w:type="auto" w:w="0"/>
        <w:jc w:val="center"/>
        <w:tblLook w:firstColumn="1" w:firstRow="1" w:lastColumn="0" w:lastRow="0" w:noHBand="0" w:noVBand="1" w:val="04A0"/>
      </w:tblPr>
      <w:tblGrid>
        <w:gridCol w:w="3324"/>
        <w:gridCol w:w="3324"/>
        <w:gridCol w:w="3324"/>
      </w:tblGrid>
      <w:tr>
        <w:tc>
          <w:tcPr>
            <w:tcW w:type="dxa" w:w="1701"/>
            <w:shd w:fill="D9EAF7"/>
            <w:vAlign w:val="center"/>
          </w:tcPr>
          <w:p>
            <w:pPr>
              <w:jc w:val="center"/>
            </w:pPr>
            <w:r>
              <w:rPr>
                <w:rFonts w:ascii="Times New Roman" w:hAnsi="Times New Roman"/>
                <w:b/>
                <w:sz w:val="19"/>
              </w:rPr>
              <w:t>Label</w:t>
            </w:r>
          </w:p>
        </w:tc>
        <w:tc>
          <w:tcPr>
            <w:tcW w:type="dxa" w:w="3402"/>
            <w:shd w:fill="D9EAF7"/>
            <w:vAlign w:val="center"/>
          </w:tcPr>
          <w:p>
            <w:pPr>
              <w:jc w:val="center"/>
            </w:pPr>
            <w:r>
              <w:rPr>
                <w:rFonts w:ascii="Times New Roman" w:hAnsi="Times New Roman"/>
                <w:b/>
                <w:sz w:val="19"/>
              </w:rPr>
              <w:t>Makna</w:t>
            </w:r>
          </w:p>
        </w:tc>
        <w:tc>
          <w:tcPr>
            <w:tcW w:type="dxa" w:w="4535"/>
            <w:shd w:fill="D9EAF7"/>
            <w:vAlign w:val="center"/>
          </w:tcPr>
          <w:p>
            <w:pPr>
              <w:jc w:val="center"/>
            </w:pPr>
            <w:r>
              <w:rPr>
                <w:rFonts w:ascii="Times New Roman" w:hAnsi="Times New Roman"/>
                <w:b/>
                <w:sz w:val="19"/>
              </w:rPr>
              <w:t>Aturan penggunaan</w:t>
            </w:r>
          </w:p>
        </w:tc>
      </w:tr>
      <w:tr>
        <w:tc>
          <w:tcPr>
            <w:tcW w:type="dxa" w:w="1701"/>
            <w:vAlign w:val="top"/>
          </w:tcPr>
          <w:p>
            <w:r>
              <w:rPr>
                <w:rFonts w:ascii="Times New Roman" w:hAnsi="Times New Roman"/>
                <w:sz w:val="19"/>
              </w:rPr>
              <w:t>PUBLIC OFFICIAL</w:t>
            </w:r>
          </w:p>
        </w:tc>
        <w:tc>
          <w:tcPr>
            <w:tcW w:type="dxa" w:w="3402"/>
            <w:vAlign w:val="top"/>
          </w:tcPr>
          <w:p>
            <w:r>
              <w:rPr>
                <w:rFonts w:ascii="Times New Roman" w:hAnsi="Times New Roman"/>
                <w:sz w:val="19"/>
              </w:rPr>
              <w:t>Data resmi/publik yang disebut di buku</w:t>
            </w:r>
          </w:p>
        </w:tc>
        <w:tc>
          <w:tcPr>
            <w:tcW w:type="dxa" w:w="4535"/>
            <w:vAlign w:val="top"/>
          </w:tcPr>
          <w:p>
            <w:r>
              <w:rPr>
                <w:rFonts w:ascii="Times New Roman" w:hAnsi="Times New Roman"/>
                <w:sz w:val="19"/>
              </w:rPr>
              <w:t>Boleh ditampilkan apa adanya dengan nama sumber dan periode.</w:t>
            </w:r>
          </w:p>
        </w:tc>
      </w:tr>
      <w:tr>
        <w:tc>
          <w:tcPr>
            <w:tcW w:type="dxa" w:w="1701"/>
            <w:vAlign w:val="top"/>
          </w:tcPr>
          <w:p>
            <w:r>
              <w:rPr>
                <w:rFonts w:ascii="Times New Roman" w:hAnsi="Times New Roman"/>
                <w:sz w:val="19"/>
              </w:rPr>
              <w:t>ILLUSTRATIVE</w:t>
            </w:r>
          </w:p>
        </w:tc>
        <w:tc>
          <w:tcPr>
            <w:tcW w:type="dxa" w:w="3402"/>
            <w:vAlign w:val="top"/>
          </w:tcPr>
          <w:p>
            <w:r>
              <w:rPr>
                <w:rFonts w:ascii="Times New Roman" w:hAnsi="Times New Roman"/>
                <w:sz w:val="19"/>
              </w:rPr>
              <w:t>Angka/nama telah dimodifikasi</w:t>
            </w:r>
          </w:p>
        </w:tc>
        <w:tc>
          <w:tcPr>
            <w:tcW w:type="dxa" w:w="4535"/>
            <w:vAlign w:val="top"/>
          </w:tcPr>
          <w:p>
            <w:r>
              <w:rPr>
                <w:rFonts w:ascii="Times New Roman" w:hAnsi="Times New Roman"/>
                <w:sz w:val="19"/>
              </w:rPr>
              <w:t>Tidak boleh di-reverse engineer, dipasangkan dengan institusi tertentu, atau diganti kembali dengan angka asli.</w:t>
            </w:r>
          </w:p>
        </w:tc>
      </w:tr>
      <w:tr>
        <w:tc>
          <w:tcPr>
            <w:tcW w:type="dxa" w:w="1701"/>
            <w:vAlign w:val="top"/>
          </w:tcPr>
          <w:p>
            <w:r>
              <w:rPr>
                <w:rFonts w:ascii="Times New Roman" w:hAnsi="Times New Roman"/>
                <w:sz w:val="19"/>
              </w:rPr>
              <w:t>USER INPUT</w:t>
            </w:r>
          </w:p>
        </w:tc>
        <w:tc>
          <w:tcPr>
            <w:tcW w:type="dxa" w:w="3402"/>
            <w:vAlign w:val="top"/>
          </w:tcPr>
          <w:p>
            <w:r>
              <w:rPr>
                <w:rFonts w:ascii="Times New Roman" w:hAnsi="Times New Roman"/>
                <w:sz w:val="19"/>
              </w:rPr>
              <w:t>Data yang dimasukkan pembaca</w:t>
            </w:r>
          </w:p>
        </w:tc>
        <w:tc>
          <w:tcPr>
            <w:tcW w:type="dxa" w:w="4535"/>
            <w:vAlign w:val="top"/>
          </w:tcPr>
          <w:p>
            <w:r>
              <w:rPr>
                <w:rFonts w:ascii="Times New Roman" w:hAnsi="Times New Roman"/>
                <w:sz w:val="19"/>
              </w:rPr>
              <w:t>Digunakan hanya untuk latihan/analisis pengguna.</w:t>
            </w:r>
          </w:p>
        </w:tc>
      </w:tr>
      <w:tr>
        <w:tc>
          <w:tcPr>
            <w:tcW w:type="dxa" w:w="1701"/>
            <w:vAlign w:val="top"/>
          </w:tcPr>
          <w:p>
            <w:r>
              <w:rPr>
                <w:rFonts w:ascii="Times New Roman" w:hAnsi="Times New Roman"/>
                <w:sz w:val="19"/>
              </w:rPr>
              <w:t>DERIVED</w:t>
            </w:r>
          </w:p>
        </w:tc>
        <w:tc>
          <w:tcPr>
            <w:tcW w:type="dxa" w:w="3402"/>
            <w:vAlign w:val="top"/>
          </w:tcPr>
          <w:p>
            <w:r>
              <w:rPr>
                <w:rFonts w:ascii="Times New Roman" w:hAnsi="Times New Roman"/>
                <w:sz w:val="19"/>
              </w:rPr>
              <w:t>Hasil formula/kalkulasi</w:t>
            </w:r>
          </w:p>
        </w:tc>
        <w:tc>
          <w:tcPr>
            <w:tcW w:type="dxa" w:w="4535"/>
            <w:vAlign w:val="top"/>
          </w:tcPr>
          <w:p>
            <w:r>
              <w:rPr>
                <w:rFonts w:ascii="Times New Roman" w:hAnsi="Times New Roman"/>
                <w:sz w:val="19"/>
              </w:rPr>
              <w:t>Harus dapat direkonsiliasi ke input dan asumsi yang jelas.</w:t>
            </w:r>
          </w:p>
        </w:tc>
      </w:tr>
    </w:tbl>
    <w:p/>
    <w:tbl>
      <w:tblPr>
        <w:tblW w:type="auto" w:w="0"/>
        <w:jc w:val="center"/>
        <w:tblLook w:firstColumn="1" w:firstRow="1" w:lastColumn="0" w:lastRow="0" w:noHBand="0" w:noVBand="1" w:val="04A0"/>
      </w:tblPr>
      <w:tblGrid>
        <w:gridCol w:w="9972"/>
      </w:tblGrid>
      <w:tr>
        <w:tc>
          <w:tcPr>
            <w:tcW w:type="dxa" w:w="9972"/>
            <w:shd w:fill="EAF2F8"/>
          </w:tcPr>
          <w:p>
            <w:r>
              <w:rPr>
                <w:rFonts w:ascii="Times New Roman" w:hAnsi="Times New Roman"/>
                <w:b/>
                <w:color w:val="1F4E79"/>
                <w:sz w:val="23"/>
              </w:rPr>
              <w:t>Pagar metodologis</w:t>
              <w:br/>
            </w:r>
            <w:r>
              <w:rPr>
                <w:rFonts w:ascii="Times New Roman" w:hAnsi="Times New Roman"/>
                <w:color w:val="1F1F1F"/>
                <w:sz w:val="22"/>
              </w:rPr>
              <w:t>Kerangka RCR, TBHI, RRR, SRV, PWAR, Public Value Loss, dan berbagai dashboard dalam companion adalah alat analitis sebagaimana diposisikan di buku. Ia bukan standar akuntansi, bukan formula yuridis, dan bukan indikator resmi kecuali secara eksplisit disebut sebagai data resmi.</w:t>
            </w:r>
          </w:p>
        </w:tc>
      </w:tr>
    </w:tbl>
    <w:p>
      <w:pPr>
        <w:pStyle w:val="Heading2"/>
      </w:pPr>
      <w:r>
        <w:t>Peta Portal</w:t>
      </w:r>
    </w:p>
    <w:tbl>
      <w:tblPr>
        <w:tblStyle w:val="TableGrid"/>
        <w:tblW w:type="auto" w:w="0"/>
        <w:jc w:val="center"/>
        <w:tblLook w:firstColumn="1" w:firstRow="1" w:lastColumn="0" w:lastRow="0" w:noHBand="0" w:noVBand="1" w:val="04A0"/>
      </w:tblPr>
      <w:tblGrid>
        <w:gridCol w:w="3324"/>
        <w:gridCol w:w="3324"/>
        <w:gridCol w:w="3324"/>
      </w:tblGrid>
      <w:tr>
        <w:tc>
          <w:tcPr>
            <w:tcW w:type="dxa" w:w="1984"/>
            <w:shd w:fill="D9EAF7"/>
            <w:vAlign w:val="center"/>
          </w:tcPr>
          <w:p>
            <w:pPr>
              <w:jc w:val="center"/>
            </w:pPr>
            <w:r>
              <w:rPr>
                <w:rFonts w:ascii="Times New Roman" w:hAnsi="Times New Roman"/>
                <w:b/>
                <w:sz w:val="19"/>
              </w:rPr>
              <w:t>Folder</w:t>
            </w:r>
          </w:p>
        </w:tc>
        <w:tc>
          <w:tcPr>
            <w:tcW w:type="dxa" w:w="4535"/>
            <w:shd w:fill="D9EAF7"/>
            <w:vAlign w:val="center"/>
          </w:tcPr>
          <w:p>
            <w:pPr>
              <w:jc w:val="center"/>
            </w:pPr>
            <w:r>
              <w:rPr>
                <w:rFonts w:ascii="Times New Roman" w:hAnsi="Times New Roman"/>
                <w:b/>
                <w:sz w:val="19"/>
              </w:rPr>
              <w:t>Isi utama</w:t>
            </w:r>
          </w:p>
        </w:tc>
        <w:tc>
          <w:tcPr>
            <w:tcW w:type="dxa" w:w="2835"/>
            <w:shd w:fill="D9EAF7"/>
            <w:vAlign w:val="center"/>
          </w:tcPr>
          <w:p>
            <w:pPr>
              <w:jc w:val="center"/>
            </w:pPr>
            <w:r>
              <w:rPr>
                <w:rFonts w:ascii="Times New Roman" w:hAnsi="Times New Roman"/>
                <w:b/>
                <w:sz w:val="19"/>
              </w:rPr>
              <w:t>Workbook</w:t>
            </w:r>
          </w:p>
        </w:tc>
      </w:tr>
      <w:tr>
        <w:tc>
          <w:tcPr>
            <w:tcW w:type="dxa" w:w="1984"/>
            <w:vAlign w:val="top"/>
          </w:tcPr>
          <w:p>
            <w:r>
              <w:rPr>
                <w:rFonts w:ascii="Times New Roman" w:hAnsi="Times New Roman"/>
                <w:sz w:val="19"/>
              </w:rPr>
              <w:t>00_START_HERE</w:t>
            </w:r>
          </w:p>
        </w:tc>
        <w:tc>
          <w:tcPr>
            <w:tcW w:type="dxa" w:w="4535"/>
            <w:vAlign w:val="top"/>
          </w:tcPr>
          <w:p>
            <w:r>
              <w:rPr>
                <w:rFonts w:ascii="Times New Roman" w:hAnsi="Times New Roman"/>
                <w:sz w:val="19"/>
              </w:rPr>
              <w:t>Panduan, label data, source register, update protocol</w:t>
            </w:r>
          </w:p>
        </w:tc>
        <w:tc>
          <w:tcPr>
            <w:tcW w:type="dxa" w:w="2835"/>
            <w:vAlign w:val="top"/>
          </w:tcPr>
          <w:p>
            <w:r>
              <w:rPr>
                <w:rFonts w:ascii="Times New Roman" w:hAnsi="Times New Roman"/>
                <w:sz w:val="19"/>
              </w:rPr>
              <w:t>00_GUIDE</w:t>
            </w:r>
          </w:p>
        </w:tc>
      </w:tr>
      <w:tr>
        <w:tc>
          <w:tcPr>
            <w:tcW w:type="dxa" w:w="1984"/>
            <w:vAlign w:val="top"/>
          </w:tcPr>
          <w:p>
            <w:r>
              <w:rPr>
                <w:rFonts w:ascii="Times New Roman" w:hAnsi="Times New Roman"/>
                <w:sz w:val="19"/>
              </w:rPr>
              <w:t>01_BAB_I</w:t>
            </w:r>
          </w:p>
        </w:tc>
        <w:tc>
          <w:tcPr>
            <w:tcW w:type="dxa" w:w="4535"/>
            <w:vAlign w:val="top"/>
          </w:tcPr>
          <w:p>
            <w:r>
              <w:rPr>
                <w:rFonts w:ascii="Times New Roman" w:hAnsi="Times New Roman"/>
                <w:sz w:val="19"/>
              </w:rPr>
              <w:t>APBN/APBD, laporan keuangan, rekonsiliasi</w:t>
            </w:r>
          </w:p>
        </w:tc>
        <w:tc>
          <w:tcPr>
            <w:tcW w:type="dxa" w:w="2835"/>
            <w:vAlign w:val="top"/>
          </w:tcPr>
          <w:p>
            <w:r>
              <w:rPr>
                <w:rFonts w:ascii="Times New Roman" w:hAnsi="Times New Roman"/>
                <w:sz w:val="19"/>
              </w:rPr>
              <w:t>01_APBN_APBD</w:t>
            </w:r>
          </w:p>
        </w:tc>
      </w:tr>
      <w:tr>
        <w:tc>
          <w:tcPr>
            <w:tcW w:type="dxa" w:w="1984"/>
            <w:vAlign w:val="top"/>
          </w:tcPr>
          <w:p>
            <w:r>
              <w:rPr>
                <w:rFonts w:ascii="Times New Roman" w:hAnsi="Times New Roman"/>
                <w:sz w:val="19"/>
              </w:rPr>
              <w:t>02_BAB_II</w:t>
            </w:r>
          </w:p>
        </w:tc>
        <w:tc>
          <w:tcPr>
            <w:tcW w:type="dxa" w:w="4535"/>
            <w:vAlign w:val="top"/>
          </w:tcPr>
          <w:p>
            <w:r>
              <w:rPr>
                <w:rFonts w:ascii="Times New Roman" w:hAnsi="Times New Roman"/>
                <w:sz w:val="19"/>
              </w:rPr>
              <w:t>Public Value Dashboard</w:t>
            </w:r>
          </w:p>
        </w:tc>
        <w:tc>
          <w:tcPr>
            <w:tcW w:type="dxa" w:w="2835"/>
            <w:vAlign w:val="top"/>
          </w:tcPr>
          <w:p>
            <w:r>
              <w:rPr>
                <w:rFonts w:ascii="Times New Roman" w:hAnsi="Times New Roman"/>
                <w:sz w:val="19"/>
              </w:rPr>
              <w:t>02_PUBLIC_VALUE</w:t>
            </w:r>
          </w:p>
        </w:tc>
      </w:tr>
      <w:tr>
        <w:tc>
          <w:tcPr>
            <w:tcW w:type="dxa" w:w="1984"/>
            <w:vAlign w:val="top"/>
          </w:tcPr>
          <w:p>
            <w:r>
              <w:rPr>
                <w:rFonts w:ascii="Times New Roman" w:hAnsi="Times New Roman"/>
                <w:sz w:val="19"/>
              </w:rPr>
              <w:t>03_BAB_III</w:t>
            </w:r>
          </w:p>
        </w:tc>
        <w:tc>
          <w:tcPr>
            <w:tcW w:type="dxa" w:w="4535"/>
            <w:vAlign w:val="top"/>
          </w:tcPr>
          <w:p>
            <w:r>
              <w:rPr>
                <w:rFonts w:ascii="Times New Roman" w:hAnsi="Times New Roman"/>
                <w:sz w:val="19"/>
              </w:rPr>
              <w:t>Revenue Quality, RCR, TBHI, PAD cultivation</w:t>
            </w:r>
          </w:p>
        </w:tc>
        <w:tc>
          <w:tcPr>
            <w:tcW w:type="dxa" w:w="2835"/>
            <w:vAlign w:val="top"/>
          </w:tcPr>
          <w:p>
            <w:r>
              <w:rPr>
                <w:rFonts w:ascii="Times New Roman" w:hAnsi="Times New Roman"/>
                <w:sz w:val="19"/>
              </w:rPr>
              <w:t>03_REVENUE_QUALITY</w:t>
            </w:r>
          </w:p>
        </w:tc>
      </w:tr>
      <w:tr>
        <w:tc>
          <w:tcPr>
            <w:tcW w:type="dxa" w:w="1984"/>
            <w:vAlign w:val="top"/>
          </w:tcPr>
          <w:p>
            <w:r>
              <w:rPr>
                <w:rFonts w:ascii="Times New Roman" w:hAnsi="Times New Roman"/>
                <w:sz w:val="19"/>
              </w:rPr>
              <w:t>04_BAB_IV</w:t>
            </w:r>
          </w:p>
        </w:tc>
        <w:tc>
          <w:tcPr>
            <w:tcW w:type="dxa" w:w="4535"/>
            <w:vAlign w:val="top"/>
          </w:tcPr>
          <w:p>
            <w:r>
              <w:rPr>
                <w:rFonts w:ascii="Times New Roman" w:hAnsi="Times New Roman"/>
                <w:sz w:val="19"/>
              </w:rPr>
              <w:t>SDA, deplesi, economic rent, RRR</w:t>
            </w:r>
          </w:p>
        </w:tc>
        <w:tc>
          <w:tcPr>
            <w:tcW w:type="dxa" w:w="2835"/>
            <w:vAlign w:val="top"/>
          </w:tcPr>
          <w:p>
            <w:r>
              <w:rPr>
                <w:rFonts w:ascii="Times New Roman" w:hAnsi="Times New Roman"/>
                <w:sz w:val="19"/>
              </w:rPr>
              <w:t>04_RRR_SDA</w:t>
            </w:r>
          </w:p>
        </w:tc>
      </w:tr>
      <w:tr>
        <w:tc>
          <w:tcPr>
            <w:tcW w:type="dxa" w:w="1984"/>
            <w:vAlign w:val="top"/>
          </w:tcPr>
          <w:p>
            <w:r>
              <w:rPr>
                <w:rFonts w:ascii="Times New Roman" w:hAnsi="Times New Roman"/>
                <w:sz w:val="19"/>
              </w:rPr>
              <w:t>05_BAB_V</w:t>
            </w:r>
          </w:p>
        </w:tc>
        <w:tc>
          <w:tcPr>
            <w:tcW w:type="dxa" w:w="4535"/>
            <w:vAlign w:val="top"/>
          </w:tcPr>
          <w:p>
            <w:r>
              <w:rPr>
                <w:rFonts w:ascii="Times New Roman" w:hAnsi="Times New Roman"/>
                <w:sz w:val="19"/>
              </w:rPr>
              <w:t>Extended Sovereign Balance Sheet</w:t>
            </w:r>
          </w:p>
        </w:tc>
        <w:tc>
          <w:tcPr>
            <w:tcW w:type="dxa" w:w="2835"/>
            <w:vAlign w:val="top"/>
          </w:tcPr>
          <w:p>
            <w:r>
              <w:rPr>
                <w:rFonts w:ascii="Times New Roman" w:hAnsi="Times New Roman"/>
                <w:sz w:val="19"/>
              </w:rPr>
              <w:t>05_SOV_BALANCE</w:t>
            </w:r>
          </w:p>
        </w:tc>
      </w:tr>
      <w:tr>
        <w:tc>
          <w:tcPr>
            <w:tcW w:type="dxa" w:w="1984"/>
            <w:vAlign w:val="top"/>
          </w:tcPr>
          <w:p>
            <w:r>
              <w:rPr>
                <w:rFonts w:ascii="Times New Roman" w:hAnsi="Times New Roman"/>
                <w:sz w:val="19"/>
              </w:rPr>
              <w:t>06_BAB_VI</w:t>
            </w:r>
          </w:p>
        </w:tc>
        <w:tc>
          <w:tcPr>
            <w:tcW w:type="dxa" w:w="4535"/>
            <w:vAlign w:val="top"/>
          </w:tcPr>
          <w:p>
            <w:r>
              <w:rPr>
                <w:rFonts w:ascii="Times New Roman" w:hAnsi="Times New Roman"/>
                <w:sz w:val="19"/>
              </w:rPr>
              <w:t>Investasi, utang, stage-gate, stress test</w:t>
            </w:r>
          </w:p>
        </w:tc>
        <w:tc>
          <w:tcPr>
            <w:tcW w:type="dxa" w:w="2835"/>
            <w:vAlign w:val="top"/>
          </w:tcPr>
          <w:p>
            <w:r>
              <w:rPr>
                <w:rFonts w:ascii="Times New Roman" w:hAnsi="Times New Roman"/>
                <w:sz w:val="19"/>
              </w:rPr>
              <w:t>06_INVEST_DEBT</w:t>
            </w:r>
          </w:p>
        </w:tc>
      </w:tr>
      <w:tr>
        <w:tc>
          <w:tcPr>
            <w:tcW w:type="dxa" w:w="1984"/>
            <w:vAlign w:val="top"/>
          </w:tcPr>
          <w:p>
            <w:r>
              <w:rPr>
                <w:rFonts w:ascii="Times New Roman" w:hAnsi="Times New Roman"/>
                <w:sz w:val="19"/>
              </w:rPr>
              <w:t>07_BAB_VII</w:t>
            </w:r>
          </w:p>
        </w:tc>
        <w:tc>
          <w:tcPr>
            <w:tcW w:type="dxa" w:w="4535"/>
            <w:vAlign w:val="top"/>
          </w:tcPr>
          <w:p>
            <w:r>
              <w:rPr>
                <w:rFonts w:ascii="Times New Roman" w:hAnsi="Times New Roman"/>
                <w:sz w:val="19"/>
              </w:rPr>
              <w:t>Public capital, PMN, leverage, recycling</w:t>
            </w:r>
          </w:p>
        </w:tc>
        <w:tc>
          <w:tcPr>
            <w:tcW w:type="dxa" w:w="2835"/>
            <w:vAlign w:val="top"/>
          </w:tcPr>
          <w:p>
            <w:r>
              <w:rPr>
                <w:rFonts w:ascii="Times New Roman" w:hAnsi="Times New Roman"/>
                <w:sz w:val="19"/>
              </w:rPr>
              <w:t>07_PUBLIC_CAPITAL</w:t>
            </w:r>
          </w:p>
        </w:tc>
      </w:tr>
      <w:tr>
        <w:tc>
          <w:tcPr>
            <w:tcW w:type="dxa" w:w="1984"/>
            <w:vAlign w:val="top"/>
          </w:tcPr>
          <w:p>
            <w:r>
              <w:rPr>
                <w:rFonts w:ascii="Times New Roman" w:hAnsi="Times New Roman"/>
                <w:sz w:val="19"/>
              </w:rPr>
              <w:t>08_BAB_VIII</w:t>
            </w:r>
          </w:p>
        </w:tc>
        <w:tc>
          <w:tcPr>
            <w:tcW w:type="dxa" w:w="4535"/>
            <w:vAlign w:val="top"/>
          </w:tcPr>
          <w:p>
            <w:r>
              <w:rPr>
                <w:rFonts w:ascii="Times New Roman" w:hAnsi="Times New Roman"/>
                <w:sz w:val="19"/>
              </w:rPr>
              <w:t>Conversion gap, CCC, kolektabilitas</w:t>
            </w:r>
          </w:p>
        </w:tc>
        <w:tc>
          <w:tcPr>
            <w:tcW w:type="dxa" w:w="2835"/>
            <w:vAlign w:val="top"/>
          </w:tcPr>
          <w:p>
            <w:r>
              <w:rPr>
                <w:rFonts w:ascii="Times New Roman" w:hAnsi="Times New Roman"/>
                <w:sz w:val="19"/>
              </w:rPr>
              <w:t>08_CONVERSION</w:t>
            </w:r>
          </w:p>
        </w:tc>
      </w:tr>
      <w:tr>
        <w:tc>
          <w:tcPr>
            <w:tcW w:type="dxa" w:w="1984"/>
            <w:vAlign w:val="top"/>
          </w:tcPr>
          <w:p>
            <w:r>
              <w:rPr>
                <w:rFonts w:ascii="Times New Roman" w:hAnsi="Times New Roman"/>
                <w:sz w:val="19"/>
              </w:rPr>
              <w:t>09_BAB_IX</w:t>
            </w:r>
          </w:p>
        </w:tc>
        <w:tc>
          <w:tcPr>
            <w:tcW w:type="dxa" w:w="4535"/>
            <w:vAlign w:val="top"/>
          </w:tcPr>
          <w:p>
            <w:r>
              <w:rPr>
                <w:rFonts w:ascii="Times New Roman" w:hAnsi="Times New Roman"/>
                <w:sz w:val="19"/>
              </w:rPr>
              <w:t>FRA, SRV, PWAR, governance roles</w:t>
            </w:r>
          </w:p>
        </w:tc>
        <w:tc>
          <w:tcPr>
            <w:tcW w:type="dxa" w:w="2835"/>
            <w:vAlign w:val="top"/>
          </w:tcPr>
          <w:p>
            <w:r>
              <w:rPr>
                <w:rFonts w:ascii="Times New Roman" w:hAnsi="Times New Roman"/>
                <w:sz w:val="19"/>
              </w:rPr>
              <w:t>09_FRA_SRV_PWAR</w:t>
            </w:r>
          </w:p>
        </w:tc>
      </w:tr>
      <w:tr>
        <w:tc>
          <w:tcPr>
            <w:tcW w:type="dxa" w:w="1984"/>
            <w:vAlign w:val="top"/>
          </w:tcPr>
          <w:p>
            <w:r>
              <w:rPr>
                <w:rFonts w:ascii="Times New Roman" w:hAnsi="Times New Roman"/>
                <w:sz w:val="19"/>
              </w:rPr>
              <w:t>10_BAB_X</w:t>
            </w:r>
          </w:p>
        </w:tc>
        <w:tc>
          <w:tcPr>
            <w:tcW w:type="dxa" w:w="4535"/>
            <w:vAlign w:val="top"/>
          </w:tcPr>
          <w:p>
            <w:r>
              <w:rPr>
                <w:rFonts w:ascii="Times New Roman" w:hAnsi="Times New Roman"/>
                <w:sz w:val="19"/>
              </w:rPr>
              <w:t>Public Value Loss, fair play, system redesign</w:t>
            </w:r>
          </w:p>
        </w:tc>
        <w:tc>
          <w:tcPr>
            <w:tcW w:type="dxa" w:w="2835"/>
            <w:vAlign w:val="top"/>
          </w:tcPr>
          <w:p>
            <w:r>
              <w:rPr>
                <w:rFonts w:ascii="Times New Roman" w:hAnsi="Times New Roman"/>
                <w:sz w:val="19"/>
              </w:rPr>
              <w:t>10_ANTI_CORRUPTION</w:t>
            </w:r>
          </w:p>
        </w:tc>
      </w:tr>
      <w:tr>
        <w:tc>
          <w:tcPr>
            <w:tcW w:type="dxa" w:w="1984"/>
            <w:vAlign w:val="top"/>
          </w:tcPr>
          <w:p>
            <w:r>
              <w:rPr>
                <w:rFonts w:ascii="Times New Roman" w:hAnsi="Times New Roman"/>
                <w:sz w:val="19"/>
              </w:rPr>
              <w:t>11_SOURCES</w:t>
            </w:r>
          </w:p>
        </w:tc>
        <w:tc>
          <w:tcPr>
            <w:tcW w:type="dxa" w:w="4535"/>
            <w:vAlign w:val="top"/>
          </w:tcPr>
          <w:p>
            <w:r>
              <w:rPr>
                <w:rFonts w:ascii="Times New Roman" w:hAnsi="Times New Roman"/>
                <w:sz w:val="19"/>
              </w:rPr>
              <w:t>Source register dan update log</w:t>
            </w:r>
          </w:p>
        </w:tc>
        <w:tc>
          <w:tcPr>
            <w:tcW w:type="dxa" w:w="2835"/>
            <w:vAlign w:val="top"/>
          </w:tcPr>
          <w:p>
            <w:r>
              <w:rPr>
                <w:rFonts w:ascii="Times New Roman" w:hAnsi="Times New Roman"/>
                <w:sz w:val="19"/>
              </w:rPr>
              <w:t>11_SOURCE_REGISTER</w:t>
            </w:r>
          </w:p>
        </w:tc>
      </w:tr>
    </w:tbl>
    <w:p/>
    <w:p>
      <w:r>
        <w:br w:type="page"/>
      </w:r>
    </w:p>
    <w:p>
      <w:pPr>
        <w:pStyle w:val="Heading1"/>
      </w:pPr>
      <w:r>
        <w:t>01. BAB I - MEMBACA UANG NEGARA</w:t>
      </w:r>
    </w:p>
    <w:p>
      <w:r>
        <w:rPr>
          <w:rFonts w:ascii="Times New Roman" w:hAnsi="Times New Roman"/>
          <w:i/>
          <w:color w:val="606060"/>
          <w:sz w:val="21"/>
        </w:rPr>
        <w:t>Rujukan buku: hlm. 1-16  |  Workbook: 01_APBN_APBD</w:t>
      </w:r>
    </w:p>
    <w:p>
      <w:r>
        <w:rPr>
          <w:rFonts w:ascii="Times New Roman" w:hAnsi="Times New Roman"/>
          <w:b w:val="0"/>
          <w:i w:val="0"/>
          <w:color w:val="1F1F1F"/>
        </w:rPr>
        <w:t>Fokus companion: menyatukan anggaran, realisasi, operasi akrual, kas, neraca, dan catatan menjadi satu cerita.</w:t>
      </w:r>
    </w:p>
    <w:p>
      <w:r>
        <w:rPr>
          <w:rFonts w:ascii="Times New Roman" w:hAnsi="Times New Roman"/>
          <w:b/>
          <w:color w:val="1F4E79"/>
          <w:sz w:val="23"/>
        </w:rPr>
        <w:t>Persamaan dasar</w:t>
        <w:br/>
      </w:r>
      <w:r>
        <w:rPr>
          <w:rFonts w:ascii="Times New Roman" w:hAnsi="Times New Roman"/>
          <w:b/>
          <w:sz w:val="23"/>
        </w:rPr>
        <w:t>Surplus/Defisit Anggaran = Pendapatan Negara - Belanja Negara</w:t>
      </w:r>
    </w:p>
    <w:p>
      <w:r>
        <w:rPr>
          <w:rFonts w:ascii="Times New Roman" w:hAnsi="Times New Roman"/>
          <w:b/>
          <w:color w:val="1F4E79"/>
          <w:sz w:val="23"/>
        </w:rPr>
        <w:t>Rekonsiliasi anggaran</w:t>
        <w:br/>
      </w:r>
      <w:r>
        <w:rPr>
          <w:rFonts w:ascii="Times New Roman" w:hAnsi="Times New Roman"/>
          <w:b/>
          <w:sz w:val="23"/>
        </w:rPr>
        <w:t>SiLPA/SiKPA = Surplus/Defisit + Pembiayaan Neto (disederhanakan)</w:t>
      </w:r>
    </w:p>
    <w:p>
      <w:r>
        <w:rPr>
          <w:rFonts w:ascii="Times New Roman" w:hAnsi="Times New Roman"/>
          <w:b/>
          <w:color w:val="1F4E79"/>
          <w:sz w:val="23"/>
        </w:rPr>
        <w:t>Persamaan neraca</w:t>
        <w:br/>
      </w:r>
      <w:r>
        <w:rPr>
          <w:rFonts w:ascii="Times New Roman" w:hAnsi="Times New Roman"/>
          <w:b/>
          <w:sz w:val="23"/>
        </w:rPr>
        <w:t>Aset = Kewajiban + Ekuitas</w:t>
      </w:r>
    </w:p>
    <w:p>
      <w:r>
        <w:rPr>
          <w:rFonts w:ascii="Times New Roman" w:hAnsi="Times New Roman"/>
          <w:b/>
          <w:color w:val="1F4E79"/>
          <w:sz w:val="23"/>
        </w:rPr>
        <w:t>Operasi akrual</w:t>
        <w:br/>
      </w:r>
      <w:r>
        <w:rPr>
          <w:rFonts w:ascii="Times New Roman" w:hAnsi="Times New Roman"/>
          <w:b/>
          <w:sz w:val="23"/>
        </w:rPr>
        <w:t>Surplus/Defisit-LO = Pendapatan-LO - Beban (disederhanakan)</w:t>
      </w:r>
    </w:p>
    <w:p>
      <w:pPr>
        <w:pStyle w:val="Heading2"/>
      </w:pPr>
      <w:r>
        <w:t>Data publik contoh - APBN 2025</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3118"/>
            <w:shd w:fill="D9EAF7"/>
            <w:vAlign w:val="center"/>
          </w:tcPr>
          <w:p>
            <w:pPr>
              <w:jc w:val="center"/>
            </w:pPr>
            <w:r>
              <w:rPr>
                <w:rFonts w:ascii="Times New Roman" w:hAnsi="Times New Roman"/>
                <w:b/>
                <w:sz w:val="19"/>
              </w:rPr>
              <w:t>Uraian</w:t>
            </w:r>
          </w:p>
        </w:tc>
        <w:tc>
          <w:tcPr>
            <w:tcW w:type="dxa" w:w="1984"/>
            <w:shd w:fill="D9EAF7"/>
            <w:vAlign w:val="center"/>
          </w:tcPr>
          <w:p>
            <w:pPr>
              <w:jc w:val="center"/>
            </w:pPr>
            <w:r>
              <w:rPr>
                <w:rFonts w:ascii="Times New Roman" w:hAnsi="Times New Roman"/>
                <w:b/>
                <w:sz w:val="19"/>
              </w:rPr>
              <w:t>Anggaran (Rp T)</w:t>
            </w:r>
          </w:p>
        </w:tc>
        <w:tc>
          <w:tcPr>
            <w:tcW w:type="dxa" w:w="2268"/>
            <w:shd w:fill="D9EAF7"/>
            <w:vAlign w:val="center"/>
          </w:tcPr>
          <w:p>
            <w:pPr>
              <w:jc w:val="center"/>
            </w:pPr>
            <w:r>
              <w:rPr>
                <w:rFonts w:ascii="Times New Roman" w:hAnsi="Times New Roman"/>
                <w:b/>
                <w:sz w:val="19"/>
              </w:rPr>
              <w:t>Realisasi audited (Rp T)</w:t>
            </w:r>
          </w:p>
        </w:tc>
        <w:tc>
          <w:tcPr>
            <w:tcW w:type="dxa" w:w="2268"/>
            <w:shd w:fill="D9EAF7"/>
            <w:vAlign w:val="center"/>
          </w:tcPr>
          <w:p>
            <w:pPr>
              <w:jc w:val="center"/>
            </w:pPr>
            <w:r>
              <w:rPr>
                <w:rFonts w:ascii="Times New Roman" w:hAnsi="Times New Roman"/>
                <w:b/>
                <w:sz w:val="19"/>
              </w:rPr>
              <w:t>Catatan</w:t>
            </w:r>
          </w:p>
        </w:tc>
      </w:tr>
      <w:tr>
        <w:tc>
          <w:tcPr>
            <w:tcW w:type="dxa" w:w="3118"/>
            <w:vAlign w:val="top"/>
          </w:tcPr>
          <w:p>
            <w:r>
              <w:rPr>
                <w:rFonts w:ascii="Times New Roman" w:hAnsi="Times New Roman"/>
                <w:sz w:val="19"/>
              </w:rPr>
              <w:t>Pendapatan negara</w:t>
            </w:r>
          </w:p>
        </w:tc>
        <w:tc>
          <w:tcPr>
            <w:tcW w:type="dxa" w:w="1984"/>
            <w:vAlign w:val="top"/>
          </w:tcPr>
          <w:p>
            <w:r>
              <w:rPr>
                <w:rFonts w:ascii="Times New Roman" w:hAnsi="Times New Roman"/>
                <w:sz w:val="19"/>
              </w:rPr>
              <w:t>3.005,1</w:t>
            </w:r>
          </w:p>
        </w:tc>
        <w:tc>
          <w:tcPr>
            <w:tcW w:type="dxa" w:w="2268"/>
            <w:vAlign w:val="top"/>
          </w:tcPr>
          <w:p>
            <w:r>
              <w:rPr>
                <w:rFonts w:ascii="Times New Roman" w:hAnsi="Times New Roman"/>
                <w:sz w:val="19"/>
              </w:rPr>
              <w:t>2.765,13</w:t>
            </w:r>
          </w:p>
        </w:tc>
        <w:tc>
          <w:tcPr>
            <w:tcW w:type="dxa" w:w="2268"/>
            <w:vAlign w:val="top"/>
          </w:tcPr>
          <w:p>
            <w:r>
              <w:rPr>
                <w:rFonts w:ascii="Times New Roman" w:hAnsi="Times New Roman"/>
                <w:sz w:val="19"/>
              </w:rPr>
              <w:t>92,0%</w:t>
            </w:r>
          </w:p>
        </w:tc>
      </w:tr>
      <w:tr>
        <w:tc>
          <w:tcPr>
            <w:tcW w:type="dxa" w:w="3118"/>
            <w:vAlign w:val="top"/>
          </w:tcPr>
          <w:p>
            <w:r>
              <w:rPr>
                <w:rFonts w:ascii="Times New Roman" w:hAnsi="Times New Roman"/>
                <w:sz w:val="19"/>
              </w:rPr>
              <w:t>Belanja negara</w:t>
            </w:r>
          </w:p>
        </w:tc>
        <w:tc>
          <w:tcPr>
            <w:tcW w:type="dxa" w:w="1984"/>
            <w:vAlign w:val="top"/>
          </w:tcPr>
          <w:p>
            <w:r>
              <w:rPr>
                <w:rFonts w:ascii="Times New Roman" w:hAnsi="Times New Roman"/>
                <w:sz w:val="19"/>
              </w:rPr>
              <w:t>3.621,3</w:t>
            </w:r>
          </w:p>
        </w:tc>
        <w:tc>
          <w:tcPr>
            <w:tcW w:type="dxa" w:w="2268"/>
            <w:vAlign w:val="top"/>
          </w:tcPr>
          <w:p>
            <w:r>
              <w:rPr>
                <w:rFonts w:ascii="Times New Roman" w:hAnsi="Times New Roman"/>
                <w:sz w:val="19"/>
              </w:rPr>
              <w:t>3.435,46</w:t>
            </w:r>
          </w:p>
        </w:tc>
        <w:tc>
          <w:tcPr>
            <w:tcW w:type="dxa" w:w="2268"/>
            <w:vAlign w:val="top"/>
          </w:tcPr>
          <w:p>
            <w:r>
              <w:rPr>
                <w:rFonts w:ascii="Times New Roman" w:hAnsi="Times New Roman"/>
                <w:sz w:val="19"/>
              </w:rPr>
              <w:t>94,9%</w:t>
            </w:r>
          </w:p>
        </w:tc>
      </w:tr>
      <w:tr>
        <w:tc>
          <w:tcPr>
            <w:tcW w:type="dxa" w:w="3118"/>
            <w:vAlign w:val="top"/>
          </w:tcPr>
          <w:p>
            <w:r>
              <w:rPr>
                <w:rFonts w:ascii="Times New Roman" w:hAnsi="Times New Roman"/>
                <w:sz w:val="19"/>
              </w:rPr>
              <w:t>Defisit anggaran</w:t>
            </w:r>
          </w:p>
        </w:tc>
        <w:tc>
          <w:tcPr>
            <w:tcW w:type="dxa" w:w="1984"/>
            <w:vAlign w:val="top"/>
          </w:tcPr>
          <w:p>
            <w:r>
              <w:rPr>
                <w:rFonts w:ascii="Times New Roman" w:hAnsi="Times New Roman"/>
                <w:sz w:val="19"/>
              </w:rPr>
              <w:t>616,2</w:t>
            </w:r>
          </w:p>
        </w:tc>
        <w:tc>
          <w:tcPr>
            <w:tcW w:type="dxa" w:w="2268"/>
            <w:vAlign w:val="top"/>
          </w:tcPr>
          <w:p>
            <w:r>
              <w:rPr>
                <w:rFonts w:ascii="Times New Roman" w:hAnsi="Times New Roman"/>
                <w:sz w:val="19"/>
              </w:rPr>
              <w:t>670,34</w:t>
            </w:r>
          </w:p>
        </w:tc>
        <w:tc>
          <w:tcPr>
            <w:tcW w:type="dxa" w:w="2268"/>
            <w:vAlign w:val="top"/>
          </w:tcPr>
          <w:p>
            <w:r>
              <w:rPr>
                <w:rFonts w:ascii="Times New Roman" w:hAnsi="Times New Roman"/>
                <w:sz w:val="19"/>
              </w:rPr>
              <w:t>108,8% dari rencana</w:t>
            </w:r>
          </w:p>
        </w:tc>
      </w:tr>
      <w:tr>
        <w:tc>
          <w:tcPr>
            <w:tcW w:type="dxa" w:w="3118"/>
            <w:vAlign w:val="top"/>
          </w:tcPr>
          <w:p>
            <w:r>
              <w:rPr>
                <w:rFonts w:ascii="Times New Roman" w:hAnsi="Times New Roman"/>
                <w:sz w:val="19"/>
              </w:rPr>
              <w:t>Pembiayaan neto</w:t>
            </w:r>
          </w:p>
        </w:tc>
        <w:tc>
          <w:tcPr>
            <w:tcW w:type="dxa" w:w="1984"/>
            <w:vAlign w:val="top"/>
          </w:tcPr>
          <w:p>
            <w:r>
              <w:rPr>
                <w:rFonts w:ascii="Times New Roman" w:hAnsi="Times New Roman"/>
                <w:sz w:val="19"/>
              </w:rPr>
              <w:t>616,2</w:t>
            </w:r>
          </w:p>
        </w:tc>
        <w:tc>
          <w:tcPr>
            <w:tcW w:type="dxa" w:w="2268"/>
            <w:vAlign w:val="top"/>
          </w:tcPr>
          <w:p>
            <w:r>
              <w:rPr>
                <w:rFonts w:ascii="Times New Roman" w:hAnsi="Times New Roman"/>
                <w:sz w:val="19"/>
              </w:rPr>
              <w:t>742,73</w:t>
            </w:r>
          </w:p>
        </w:tc>
        <w:tc>
          <w:tcPr>
            <w:tcW w:type="dxa" w:w="2268"/>
            <w:vAlign w:val="top"/>
          </w:tcPr>
          <w:p>
            <w:r>
              <w:rPr>
                <w:rFonts w:ascii="Times New Roman" w:hAnsi="Times New Roman"/>
                <w:sz w:val="19"/>
              </w:rPr>
              <w:t>-</w:t>
            </w:r>
          </w:p>
        </w:tc>
      </w:tr>
      <w:tr>
        <w:tc>
          <w:tcPr>
            <w:tcW w:type="dxa" w:w="3118"/>
            <w:vAlign w:val="top"/>
          </w:tcPr>
          <w:p>
            <w:r>
              <w:rPr>
                <w:rFonts w:ascii="Times New Roman" w:hAnsi="Times New Roman"/>
                <w:sz w:val="19"/>
              </w:rPr>
              <w:t>SiLPA</w:t>
            </w:r>
          </w:p>
        </w:tc>
        <w:tc>
          <w:tcPr>
            <w:tcW w:type="dxa" w:w="1984"/>
            <w:vAlign w:val="top"/>
          </w:tcPr>
          <w:p>
            <w:r>
              <w:rPr>
                <w:rFonts w:ascii="Times New Roman" w:hAnsi="Times New Roman"/>
                <w:sz w:val="19"/>
              </w:rPr>
              <w:t>-</w:t>
            </w:r>
          </w:p>
        </w:tc>
        <w:tc>
          <w:tcPr>
            <w:tcW w:type="dxa" w:w="2268"/>
            <w:vAlign w:val="top"/>
          </w:tcPr>
          <w:p>
            <w:r>
              <w:rPr>
                <w:rFonts w:ascii="Times New Roman" w:hAnsi="Times New Roman"/>
                <w:sz w:val="19"/>
              </w:rPr>
              <w:t>72,40</w:t>
            </w:r>
          </w:p>
        </w:tc>
        <w:tc>
          <w:tcPr>
            <w:tcW w:type="dxa" w:w="2268"/>
            <w:vAlign w:val="top"/>
          </w:tcPr>
          <w:p>
            <w:r>
              <w:rPr>
                <w:rFonts w:ascii="Times New Roman" w:hAnsi="Times New Roman"/>
                <w:sz w:val="19"/>
              </w:rPr>
              <w:t>-</w:t>
            </w:r>
          </w:p>
        </w:tc>
      </w:tr>
    </w:tbl>
    <w:p/>
    <w:p>
      <w:r>
        <w:rPr>
          <w:rFonts w:ascii="Times New Roman" w:hAnsi="Times New Roman"/>
          <w:b w:val="0"/>
          <w:i/>
          <w:color w:val="606060"/>
        </w:rPr>
        <w:t>Sumber sebagaimana disebut dalam buku: Nota Keuangan APBN 2025, Kementerian Keuangan, LKPP 2025 audited/penyampaian RUU P2 APBN 2025.</w:t>
      </w:r>
    </w:p>
    <w:p>
      <w:pPr>
        <w:pStyle w:val="Heading2"/>
      </w:pPr>
      <w:r>
        <w:t>Data publik contoh - APBD DKI Jakarta 2025</w:t>
      </w:r>
    </w:p>
    <w:tbl>
      <w:tblPr>
        <w:tblStyle w:val="TableGrid"/>
        <w:tblW w:type="auto" w:w="0"/>
        <w:jc w:val="center"/>
        <w:tblLook w:firstColumn="1" w:firstRow="1" w:lastColumn="0" w:lastRow="0" w:noHBand="0" w:noVBand="1" w:val="04A0"/>
      </w:tblPr>
      <w:tblGrid>
        <w:gridCol w:w="4986"/>
        <w:gridCol w:w="4986"/>
      </w:tblGrid>
      <w:tr>
        <w:tc>
          <w:tcPr>
            <w:tcW w:type="dxa" w:w="5102"/>
            <w:shd w:fill="D9EAF7"/>
            <w:vAlign w:val="center"/>
          </w:tcPr>
          <w:p>
            <w:pPr>
              <w:jc w:val="center"/>
            </w:pPr>
            <w:r>
              <w:rPr>
                <w:rFonts w:ascii="Times New Roman" w:hAnsi="Times New Roman"/>
                <w:b/>
                <w:sz w:val="19"/>
              </w:rPr>
              <w:t>Indikator</w:t>
            </w:r>
          </w:p>
        </w:tc>
        <w:tc>
          <w:tcPr>
            <w:tcW w:type="dxa" w:w="3402"/>
            <w:shd w:fill="D9EAF7"/>
            <w:vAlign w:val="center"/>
          </w:tcPr>
          <w:p>
            <w:pPr>
              <w:jc w:val="center"/>
            </w:pPr>
            <w:r>
              <w:rPr>
                <w:rFonts w:ascii="Times New Roman" w:hAnsi="Times New Roman"/>
                <w:b/>
                <w:sz w:val="19"/>
              </w:rPr>
              <w:t>Nilai</w:t>
            </w:r>
          </w:p>
        </w:tc>
      </w:tr>
      <w:tr>
        <w:tc>
          <w:tcPr>
            <w:tcW w:type="dxa" w:w="5102"/>
            <w:vAlign w:val="top"/>
          </w:tcPr>
          <w:p>
            <w:r>
              <w:rPr>
                <w:rFonts w:ascii="Times New Roman" w:hAnsi="Times New Roman"/>
                <w:sz w:val="19"/>
              </w:rPr>
              <w:t>Target pendapatan</w:t>
            </w:r>
          </w:p>
        </w:tc>
        <w:tc>
          <w:tcPr>
            <w:tcW w:type="dxa" w:w="3402"/>
            <w:vAlign w:val="top"/>
          </w:tcPr>
          <w:p>
            <w:r>
              <w:rPr>
                <w:rFonts w:ascii="Times New Roman" w:hAnsi="Times New Roman"/>
                <w:sz w:val="19"/>
              </w:rPr>
              <w:t>Rp84,45 triliun</w:t>
            </w:r>
          </w:p>
        </w:tc>
      </w:tr>
      <w:tr>
        <w:tc>
          <w:tcPr>
            <w:tcW w:type="dxa" w:w="5102"/>
            <w:vAlign w:val="top"/>
          </w:tcPr>
          <w:p>
            <w:r>
              <w:rPr>
                <w:rFonts w:ascii="Times New Roman" w:hAnsi="Times New Roman"/>
                <w:sz w:val="19"/>
              </w:rPr>
              <w:t>Realisasi pendapatan</w:t>
            </w:r>
          </w:p>
        </w:tc>
        <w:tc>
          <w:tcPr>
            <w:tcW w:type="dxa" w:w="3402"/>
            <w:vAlign w:val="top"/>
          </w:tcPr>
          <w:p>
            <w:r>
              <w:rPr>
                <w:rFonts w:ascii="Times New Roman" w:hAnsi="Times New Roman"/>
                <w:sz w:val="19"/>
              </w:rPr>
              <w:t>Rp80,03 triliun</w:t>
            </w:r>
          </w:p>
        </w:tc>
      </w:tr>
      <w:tr>
        <w:tc>
          <w:tcPr>
            <w:tcW w:type="dxa" w:w="5102"/>
            <w:vAlign w:val="top"/>
          </w:tcPr>
          <w:p>
            <w:r>
              <w:rPr>
                <w:rFonts w:ascii="Times New Roman" w:hAnsi="Times New Roman"/>
                <w:sz w:val="19"/>
              </w:rPr>
              <w:t>Anggaran belanja</w:t>
            </w:r>
          </w:p>
        </w:tc>
        <w:tc>
          <w:tcPr>
            <w:tcW w:type="dxa" w:w="3402"/>
            <w:vAlign w:val="top"/>
          </w:tcPr>
          <w:p>
            <w:r>
              <w:rPr>
                <w:rFonts w:ascii="Times New Roman" w:hAnsi="Times New Roman"/>
                <w:sz w:val="19"/>
              </w:rPr>
              <w:t>Rp85,98 triliun</w:t>
            </w:r>
          </w:p>
        </w:tc>
      </w:tr>
      <w:tr>
        <w:tc>
          <w:tcPr>
            <w:tcW w:type="dxa" w:w="5102"/>
            <w:vAlign w:val="top"/>
          </w:tcPr>
          <w:p>
            <w:r>
              <w:rPr>
                <w:rFonts w:ascii="Times New Roman" w:hAnsi="Times New Roman"/>
                <w:sz w:val="19"/>
              </w:rPr>
              <w:t>Realisasi belanja</w:t>
            </w:r>
          </w:p>
        </w:tc>
        <w:tc>
          <w:tcPr>
            <w:tcW w:type="dxa" w:w="3402"/>
            <w:vAlign w:val="top"/>
          </w:tcPr>
          <w:p>
            <w:r>
              <w:rPr>
                <w:rFonts w:ascii="Times New Roman" w:hAnsi="Times New Roman"/>
                <w:sz w:val="19"/>
              </w:rPr>
              <w:t>Rp76,10 triliun</w:t>
            </w:r>
          </w:p>
        </w:tc>
      </w:tr>
      <w:tr>
        <w:tc>
          <w:tcPr>
            <w:tcW w:type="dxa" w:w="5102"/>
            <w:vAlign w:val="top"/>
          </w:tcPr>
          <w:p>
            <w:r>
              <w:rPr>
                <w:rFonts w:ascii="Times New Roman" w:hAnsi="Times New Roman"/>
                <w:sz w:val="19"/>
              </w:rPr>
              <w:t>SiLPA</w:t>
            </w:r>
          </w:p>
        </w:tc>
        <w:tc>
          <w:tcPr>
            <w:tcW w:type="dxa" w:w="3402"/>
            <w:vAlign w:val="top"/>
          </w:tcPr>
          <w:p>
            <w:r>
              <w:rPr>
                <w:rFonts w:ascii="Times New Roman" w:hAnsi="Times New Roman"/>
                <w:sz w:val="19"/>
              </w:rPr>
              <w:t>Rp5,82 triliun</w:t>
            </w:r>
          </w:p>
        </w:tc>
      </w:tr>
      <w:tr>
        <w:tc>
          <w:tcPr>
            <w:tcW w:type="dxa" w:w="5102"/>
            <w:vAlign w:val="top"/>
          </w:tcPr>
          <w:p>
            <w:r>
              <w:rPr>
                <w:rFonts w:ascii="Times New Roman" w:hAnsi="Times New Roman"/>
                <w:sz w:val="19"/>
              </w:rPr>
              <w:t>Aset per 31 Desember 2025</w:t>
            </w:r>
          </w:p>
        </w:tc>
        <w:tc>
          <w:tcPr>
            <w:tcW w:type="dxa" w:w="3402"/>
            <w:vAlign w:val="top"/>
          </w:tcPr>
          <w:p>
            <w:r>
              <w:rPr>
                <w:rFonts w:ascii="Times New Roman" w:hAnsi="Times New Roman"/>
                <w:sz w:val="19"/>
              </w:rPr>
              <w:t>Rp758,57 triliun</w:t>
            </w:r>
          </w:p>
        </w:tc>
      </w:tr>
      <w:tr>
        <w:tc>
          <w:tcPr>
            <w:tcW w:type="dxa" w:w="5102"/>
            <w:vAlign w:val="top"/>
          </w:tcPr>
          <w:p>
            <w:r>
              <w:rPr>
                <w:rFonts w:ascii="Times New Roman" w:hAnsi="Times New Roman"/>
                <w:sz w:val="19"/>
              </w:rPr>
              <w:t>Kewajiban</w:t>
            </w:r>
          </w:p>
        </w:tc>
        <w:tc>
          <w:tcPr>
            <w:tcW w:type="dxa" w:w="3402"/>
            <w:vAlign w:val="top"/>
          </w:tcPr>
          <w:p>
            <w:r>
              <w:rPr>
                <w:rFonts w:ascii="Times New Roman" w:hAnsi="Times New Roman"/>
                <w:sz w:val="19"/>
              </w:rPr>
              <w:t>Rp17,97 triliun</w:t>
            </w:r>
          </w:p>
        </w:tc>
      </w:tr>
      <w:tr>
        <w:tc>
          <w:tcPr>
            <w:tcW w:type="dxa" w:w="5102"/>
            <w:vAlign w:val="top"/>
          </w:tcPr>
          <w:p>
            <w:r>
              <w:rPr>
                <w:rFonts w:ascii="Times New Roman" w:hAnsi="Times New Roman"/>
                <w:sz w:val="19"/>
              </w:rPr>
              <w:t>Ekuitas</w:t>
            </w:r>
          </w:p>
        </w:tc>
        <w:tc>
          <w:tcPr>
            <w:tcW w:type="dxa" w:w="3402"/>
            <w:vAlign w:val="top"/>
          </w:tcPr>
          <w:p>
            <w:r>
              <w:rPr>
                <w:rFonts w:ascii="Times New Roman" w:hAnsi="Times New Roman"/>
                <w:sz w:val="19"/>
              </w:rPr>
              <w:t>Rp740,60 triliun</w:t>
            </w:r>
          </w:p>
        </w:tc>
      </w:tr>
      <w:tr>
        <w:tc>
          <w:tcPr>
            <w:tcW w:type="dxa" w:w="5102"/>
            <w:vAlign w:val="top"/>
          </w:tcPr>
          <w:p>
            <w:r>
              <w:rPr>
                <w:rFonts w:ascii="Times New Roman" w:hAnsi="Times New Roman"/>
                <w:sz w:val="19"/>
              </w:rPr>
              <w:t>Opini BPK</w:t>
            </w:r>
          </w:p>
        </w:tc>
        <w:tc>
          <w:tcPr>
            <w:tcW w:type="dxa" w:w="3402"/>
            <w:vAlign w:val="top"/>
          </w:tcPr>
          <w:p>
            <w:r>
              <w:rPr>
                <w:rFonts w:ascii="Times New Roman" w:hAnsi="Times New Roman"/>
                <w:sz w:val="19"/>
              </w:rPr>
              <w:t>WTP</w:t>
            </w:r>
          </w:p>
        </w:tc>
      </w:tr>
    </w:tbl>
    <w:p/>
    <w:p>
      <w:pPr>
        <w:pStyle w:val="Heading2"/>
      </w:pPr>
      <w:r>
        <w:t>Worksheet - Empat Lensa</w:t>
      </w:r>
    </w:p>
    <w:tbl>
      <w:tblPr>
        <w:tblStyle w:val="TableGrid"/>
        <w:tblW w:type="auto" w:w="0"/>
        <w:jc w:val="center"/>
        <w:tblLook w:firstColumn="1" w:firstRow="1" w:lastColumn="0" w:lastRow="0" w:noHBand="0" w:noVBand="1" w:val="04A0"/>
      </w:tblPr>
      <w:tblGrid>
        <w:gridCol w:w="3324"/>
        <w:gridCol w:w="3324"/>
        <w:gridCol w:w="3324"/>
      </w:tblGrid>
      <w:tr>
        <w:tc>
          <w:tcPr>
            <w:tcW w:type="dxa" w:w="1701"/>
            <w:shd w:fill="D9EAF7"/>
            <w:vAlign w:val="center"/>
          </w:tcPr>
          <w:p>
            <w:pPr>
              <w:jc w:val="center"/>
            </w:pPr>
            <w:r>
              <w:rPr>
                <w:rFonts w:ascii="Times New Roman" w:hAnsi="Times New Roman"/>
                <w:b/>
                <w:sz w:val="19"/>
              </w:rPr>
              <w:t>Lensa</w:t>
            </w:r>
          </w:p>
        </w:tc>
        <w:tc>
          <w:tcPr>
            <w:tcW w:type="dxa" w:w="3969"/>
            <w:shd w:fill="D9EAF7"/>
            <w:vAlign w:val="center"/>
          </w:tcPr>
          <w:p>
            <w:pPr>
              <w:jc w:val="center"/>
            </w:pPr>
            <w:r>
              <w:rPr>
                <w:rFonts w:ascii="Times New Roman" w:hAnsi="Times New Roman"/>
                <w:b/>
                <w:sz w:val="19"/>
              </w:rPr>
              <w:t>Pertanyaan</w:t>
            </w:r>
          </w:p>
        </w:tc>
        <w:tc>
          <w:tcPr>
            <w:tcW w:type="dxa" w:w="3969"/>
            <w:shd w:fill="D9EAF7"/>
            <w:vAlign w:val="center"/>
          </w:tcPr>
          <w:p>
            <w:pPr>
              <w:jc w:val="center"/>
            </w:pPr>
            <w:r>
              <w:rPr>
                <w:rFonts w:ascii="Times New Roman" w:hAnsi="Times New Roman"/>
                <w:b/>
                <w:sz w:val="19"/>
              </w:rPr>
              <w:t>Bukti minimal</w:t>
            </w:r>
          </w:p>
        </w:tc>
      </w:tr>
      <w:tr>
        <w:tc>
          <w:tcPr>
            <w:tcW w:type="dxa" w:w="1701"/>
            <w:vAlign w:val="top"/>
          </w:tcPr>
          <w:p>
            <w:r>
              <w:rPr>
                <w:rFonts w:ascii="Times New Roman" w:hAnsi="Times New Roman"/>
                <w:sz w:val="19"/>
              </w:rPr>
              <w:t>Anggaran</w:t>
            </w:r>
          </w:p>
        </w:tc>
        <w:tc>
          <w:tcPr>
            <w:tcW w:type="dxa" w:w="3969"/>
            <w:vAlign w:val="top"/>
          </w:tcPr>
          <w:p>
            <w:r>
              <w:rPr>
                <w:rFonts w:ascii="Times New Roman" w:hAnsi="Times New Roman"/>
                <w:sz w:val="19"/>
              </w:rPr>
              <w:t>Apa yang direncanakan, diotorisasi, dan direalisasikan?</w:t>
            </w:r>
          </w:p>
        </w:tc>
        <w:tc>
          <w:tcPr>
            <w:tcW w:type="dxa" w:w="3969"/>
            <w:vAlign w:val="top"/>
          </w:tcPr>
          <w:p>
            <w:r>
              <w:rPr>
                <w:rFonts w:ascii="Times New Roman" w:hAnsi="Times New Roman"/>
                <w:sz w:val="19"/>
              </w:rPr>
              <w:t>APBN/APBD, LRA, perubahan anggaran</w:t>
            </w:r>
          </w:p>
        </w:tc>
      </w:tr>
      <w:tr>
        <w:tc>
          <w:tcPr>
            <w:tcW w:type="dxa" w:w="1701"/>
            <w:vAlign w:val="top"/>
          </w:tcPr>
          <w:p>
            <w:r>
              <w:rPr>
                <w:rFonts w:ascii="Times New Roman" w:hAnsi="Times New Roman"/>
                <w:sz w:val="19"/>
              </w:rPr>
              <w:t>Operasi</w:t>
            </w:r>
          </w:p>
        </w:tc>
        <w:tc>
          <w:tcPr>
            <w:tcW w:type="dxa" w:w="3969"/>
            <w:vAlign w:val="top"/>
          </w:tcPr>
          <w:p>
            <w:r>
              <w:rPr>
                <w:rFonts w:ascii="Times New Roman" w:hAnsi="Times New Roman"/>
                <w:sz w:val="19"/>
              </w:rPr>
              <w:t>Hak/kewajiban ekonomi apa yang timbul?</w:t>
            </w:r>
          </w:p>
        </w:tc>
        <w:tc>
          <w:tcPr>
            <w:tcW w:type="dxa" w:w="3969"/>
            <w:vAlign w:val="top"/>
          </w:tcPr>
          <w:p>
            <w:r>
              <w:rPr>
                <w:rFonts w:ascii="Times New Roman" w:hAnsi="Times New Roman"/>
                <w:sz w:val="19"/>
              </w:rPr>
              <w:t>LO, LPE, CaLK</w:t>
            </w:r>
          </w:p>
        </w:tc>
      </w:tr>
      <w:tr>
        <w:tc>
          <w:tcPr>
            <w:tcW w:type="dxa" w:w="1701"/>
            <w:vAlign w:val="top"/>
          </w:tcPr>
          <w:p>
            <w:r>
              <w:rPr>
                <w:rFonts w:ascii="Times New Roman" w:hAnsi="Times New Roman"/>
                <w:sz w:val="19"/>
              </w:rPr>
              <w:t>Kas</w:t>
            </w:r>
          </w:p>
        </w:tc>
        <w:tc>
          <w:tcPr>
            <w:tcW w:type="dxa" w:w="3969"/>
            <w:vAlign w:val="top"/>
          </w:tcPr>
          <w:p>
            <w:r>
              <w:rPr>
                <w:rFonts w:ascii="Times New Roman" w:hAnsi="Times New Roman"/>
                <w:sz w:val="19"/>
              </w:rPr>
              <w:t>Dari mana kas datang dan ke mana pergi?</w:t>
            </w:r>
          </w:p>
        </w:tc>
        <w:tc>
          <w:tcPr>
            <w:tcW w:type="dxa" w:w="3969"/>
            <w:vAlign w:val="top"/>
          </w:tcPr>
          <w:p>
            <w:r>
              <w:rPr>
                <w:rFonts w:ascii="Times New Roman" w:hAnsi="Times New Roman"/>
                <w:sz w:val="19"/>
              </w:rPr>
              <w:t>LAK, kas/SAL, arus operasi-investasi-pembiayaan</w:t>
            </w:r>
          </w:p>
        </w:tc>
      </w:tr>
      <w:tr>
        <w:tc>
          <w:tcPr>
            <w:tcW w:type="dxa" w:w="1701"/>
            <w:vAlign w:val="top"/>
          </w:tcPr>
          <w:p>
            <w:r>
              <w:rPr>
                <w:rFonts w:ascii="Times New Roman" w:hAnsi="Times New Roman"/>
                <w:sz w:val="19"/>
              </w:rPr>
              <w:t>Posisi &amp; risiko</w:t>
            </w:r>
          </w:p>
        </w:tc>
        <w:tc>
          <w:tcPr>
            <w:tcW w:type="dxa" w:w="3969"/>
            <w:vAlign w:val="top"/>
          </w:tcPr>
          <w:p>
            <w:r>
              <w:rPr>
                <w:rFonts w:ascii="Times New Roman" w:hAnsi="Times New Roman"/>
                <w:sz w:val="19"/>
              </w:rPr>
              <w:t>Apa yang dimiliki, menjadi kewajiban, dan berisiko?</w:t>
            </w:r>
          </w:p>
        </w:tc>
        <w:tc>
          <w:tcPr>
            <w:tcW w:type="dxa" w:w="3969"/>
            <w:vAlign w:val="top"/>
          </w:tcPr>
          <w:p>
            <w:r>
              <w:rPr>
                <w:rFonts w:ascii="Times New Roman" w:hAnsi="Times New Roman"/>
                <w:sz w:val="19"/>
              </w:rPr>
              <w:t>Neraca, CaLK, komitmen/kontinjensi</w:t>
            </w:r>
          </w:p>
        </w:tc>
      </w:tr>
    </w:tbl>
    <w:p/>
    <w:p>
      <w:r>
        <w:br w:type="page"/>
      </w:r>
    </w:p>
    <w:p>
      <w:pPr>
        <w:pStyle w:val="Heading1"/>
      </w:pPr>
      <w:r>
        <w:t>02. BAB II - PUBLIC VALUE</w:t>
      </w:r>
    </w:p>
    <w:p>
      <w:r>
        <w:rPr>
          <w:rFonts w:ascii="Times New Roman" w:hAnsi="Times New Roman"/>
          <w:i/>
          <w:color w:val="606060"/>
          <w:sz w:val="21"/>
        </w:rPr>
        <w:t>Rujukan buku: hlm. 17-28  |  Workbook: 02_PUBLIC_VALUE</w:t>
      </w:r>
    </w:p>
    <w:p>
      <w:r>
        <w:rPr>
          <w:rFonts w:ascii="Times New Roman" w:hAnsi="Times New Roman"/>
          <w:b w:val="0"/>
          <w:i w:val="0"/>
          <w:color w:val="1F1F1F"/>
        </w:rPr>
        <w:t>Fokus companion: mengubah evaluasi dari 'uang dibelanjakan' menjadi 'nilai publik tercipta'.</w:t>
      </w:r>
    </w:p>
    <w:p>
      <w:r>
        <w:rPr>
          <w:rFonts w:ascii="Times New Roman" w:hAnsi="Times New Roman"/>
          <w:b/>
          <w:color w:val="1F4E79"/>
          <w:sz w:val="23"/>
        </w:rPr>
        <w:t>Rantai nilai</w:t>
        <w:br/>
      </w:r>
      <w:r>
        <w:rPr>
          <w:rFonts w:ascii="Times New Roman" w:hAnsi="Times New Roman"/>
          <w:b/>
          <w:sz w:val="23"/>
        </w:rPr>
        <w:t>PROBLEM → POLICY CHOICE → INSTITUTION → CAPACITY → DELIVERY → OUTPUT → OUTCOME → PUBLIC VALUE</w:t>
      </w:r>
    </w:p>
    <w:p>
      <w:r>
        <w:rPr>
          <w:rFonts w:ascii="Times New Roman" w:hAnsi="Times New Roman"/>
          <w:b/>
          <w:color w:val="1F4E79"/>
          <w:sz w:val="23"/>
        </w:rPr>
        <w:t>Dashboard utama</w:t>
        <w:br/>
      </w:r>
      <w:r>
        <w:rPr>
          <w:rFonts w:ascii="Times New Roman" w:hAnsi="Times New Roman"/>
          <w:b/>
          <w:sz w:val="23"/>
        </w:rPr>
        <w:t>Input → Delivery Cost → Output → Outcome → Distribution → Net Additionality → Public Value</w:t>
      </w:r>
    </w:p>
    <w:p>
      <w:pPr>
        <w:pStyle w:val="Heading2"/>
      </w:pPr>
      <w:r>
        <w:t>Public Value Dashboard</w:t>
      </w:r>
    </w:p>
    <w:tbl>
      <w:tblPr>
        <w:tblStyle w:val="TableGrid"/>
        <w:tblW w:type="auto" w:w="0"/>
        <w:jc w:val="center"/>
        <w:tblLook w:firstColumn="1" w:firstRow="1" w:lastColumn="0" w:lastRow="0" w:noHBand="0" w:noVBand="1" w:val="04A0"/>
      </w:tblPr>
      <w:tblGrid>
        <w:gridCol w:w="3324"/>
        <w:gridCol w:w="3324"/>
        <w:gridCol w:w="3324"/>
      </w:tblGrid>
      <w:tr>
        <w:tc>
          <w:tcPr>
            <w:tcW w:type="dxa" w:w="1814"/>
            <w:shd w:fill="D9EAF7"/>
            <w:vAlign w:val="center"/>
          </w:tcPr>
          <w:p>
            <w:pPr>
              <w:jc w:val="center"/>
            </w:pPr>
            <w:r>
              <w:rPr>
                <w:rFonts w:ascii="Times New Roman" w:hAnsi="Times New Roman"/>
                <w:b/>
                <w:sz w:val="19"/>
              </w:rPr>
              <w:t>Dimensi</w:t>
            </w:r>
          </w:p>
        </w:tc>
        <w:tc>
          <w:tcPr>
            <w:tcW w:type="dxa" w:w="4082"/>
            <w:shd w:fill="D9EAF7"/>
            <w:vAlign w:val="center"/>
          </w:tcPr>
          <w:p>
            <w:pPr>
              <w:jc w:val="center"/>
            </w:pPr>
            <w:r>
              <w:rPr>
                <w:rFonts w:ascii="Times New Roman" w:hAnsi="Times New Roman"/>
                <w:b/>
                <w:sz w:val="19"/>
              </w:rPr>
              <w:t>Pertanyaan diagnostik</w:t>
            </w:r>
          </w:p>
        </w:tc>
        <w:tc>
          <w:tcPr>
            <w:tcW w:type="dxa" w:w="3685"/>
            <w:shd w:fill="D9EAF7"/>
            <w:vAlign w:val="center"/>
          </w:tcPr>
          <w:p>
            <w:pPr>
              <w:jc w:val="center"/>
            </w:pPr>
            <w:r>
              <w:rPr>
                <w:rFonts w:ascii="Times New Roman" w:hAnsi="Times New Roman"/>
                <w:b/>
                <w:sz w:val="19"/>
              </w:rPr>
              <w:t>Evidence</w:t>
            </w:r>
          </w:p>
        </w:tc>
      </w:tr>
      <w:tr>
        <w:tc>
          <w:tcPr>
            <w:tcW w:type="dxa" w:w="1814"/>
            <w:vAlign w:val="top"/>
          </w:tcPr>
          <w:p>
            <w:r>
              <w:rPr>
                <w:rFonts w:ascii="Times New Roman" w:hAnsi="Times New Roman"/>
                <w:sz w:val="19"/>
              </w:rPr>
              <w:t>Input</w:t>
            </w:r>
          </w:p>
        </w:tc>
        <w:tc>
          <w:tcPr>
            <w:tcW w:type="dxa" w:w="4082"/>
            <w:vAlign w:val="top"/>
          </w:tcPr>
          <w:p>
            <w:r>
              <w:rPr>
                <w:rFonts w:ascii="Times New Roman" w:hAnsi="Times New Roman"/>
                <w:sz w:val="19"/>
              </w:rPr>
              <w:t>Berapa uang/sumber daya yang digunakan?</w:t>
            </w:r>
          </w:p>
        </w:tc>
        <w:tc>
          <w:tcPr>
            <w:tcW w:type="dxa" w:w="3685"/>
            <w:vAlign w:val="top"/>
          </w:tcPr>
          <w:p>
            <w:r>
              <w:rPr>
                <w:rFonts w:ascii="Times New Roman" w:hAnsi="Times New Roman"/>
                <w:sz w:val="19"/>
              </w:rPr>
              <w:t>Anggaran, SDM, aset, waktu</w:t>
            </w:r>
          </w:p>
        </w:tc>
      </w:tr>
      <w:tr>
        <w:tc>
          <w:tcPr>
            <w:tcW w:type="dxa" w:w="1814"/>
            <w:vAlign w:val="top"/>
          </w:tcPr>
          <w:p>
            <w:r>
              <w:rPr>
                <w:rFonts w:ascii="Times New Roman" w:hAnsi="Times New Roman"/>
                <w:sz w:val="19"/>
              </w:rPr>
              <w:t>Delivery Cost</w:t>
            </w:r>
          </w:p>
        </w:tc>
        <w:tc>
          <w:tcPr>
            <w:tcW w:type="dxa" w:w="4082"/>
            <w:vAlign w:val="top"/>
          </w:tcPr>
          <w:p>
            <w:r>
              <w:rPr>
                <w:rFonts w:ascii="Times New Roman" w:hAnsi="Times New Roman"/>
                <w:sz w:val="19"/>
              </w:rPr>
              <w:t>Berapa biaya untuk mengubah input menjadi layanan/output?</w:t>
            </w:r>
          </w:p>
        </w:tc>
        <w:tc>
          <w:tcPr>
            <w:tcW w:type="dxa" w:w="3685"/>
            <w:vAlign w:val="top"/>
          </w:tcPr>
          <w:p>
            <w:r>
              <w:rPr>
                <w:rFonts w:ascii="Times New Roman" w:hAnsi="Times New Roman"/>
                <w:sz w:val="19"/>
              </w:rPr>
              <w:t>Unit cost, procurement cost, transaction cost</w:t>
            </w:r>
          </w:p>
        </w:tc>
      </w:tr>
      <w:tr>
        <w:tc>
          <w:tcPr>
            <w:tcW w:type="dxa" w:w="1814"/>
            <w:vAlign w:val="top"/>
          </w:tcPr>
          <w:p>
            <w:r>
              <w:rPr>
                <w:rFonts w:ascii="Times New Roman" w:hAnsi="Times New Roman"/>
                <w:sz w:val="19"/>
              </w:rPr>
              <w:t>Output</w:t>
            </w:r>
          </w:p>
        </w:tc>
        <w:tc>
          <w:tcPr>
            <w:tcW w:type="dxa" w:w="4082"/>
            <w:vAlign w:val="top"/>
          </w:tcPr>
          <w:p>
            <w:r>
              <w:rPr>
                <w:rFonts w:ascii="Times New Roman" w:hAnsi="Times New Roman"/>
                <w:sz w:val="19"/>
              </w:rPr>
              <w:t>Apa yang benar-benar dihasilkan?</w:t>
            </w:r>
          </w:p>
        </w:tc>
        <w:tc>
          <w:tcPr>
            <w:tcW w:type="dxa" w:w="3685"/>
            <w:vAlign w:val="top"/>
          </w:tcPr>
          <w:p>
            <w:r>
              <w:rPr>
                <w:rFonts w:ascii="Times New Roman" w:hAnsi="Times New Roman"/>
                <w:sz w:val="19"/>
              </w:rPr>
              <w:t>Volume, coverage, completion</w:t>
            </w:r>
          </w:p>
        </w:tc>
      </w:tr>
      <w:tr>
        <w:tc>
          <w:tcPr>
            <w:tcW w:type="dxa" w:w="1814"/>
            <w:vAlign w:val="top"/>
          </w:tcPr>
          <w:p>
            <w:r>
              <w:rPr>
                <w:rFonts w:ascii="Times New Roman" w:hAnsi="Times New Roman"/>
                <w:sz w:val="19"/>
              </w:rPr>
              <w:t>Outcome</w:t>
            </w:r>
          </w:p>
        </w:tc>
        <w:tc>
          <w:tcPr>
            <w:tcW w:type="dxa" w:w="4082"/>
            <w:vAlign w:val="top"/>
          </w:tcPr>
          <w:p>
            <w:r>
              <w:rPr>
                <w:rFonts w:ascii="Times New Roman" w:hAnsi="Times New Roman"/>
                <w:sz w:val="19"/>
              </w:rPr>
              <w:t>Apa yang berubah pada penerima/manusia?</w:t>
            </w:r>
          </w:p>
        </w:tc>
        <w:tc>
          <w:tcPr>
            <w:tcW w:type="dxa" w:w="3685"/>
            <w:vAlign w:val="top"/>
          </w:tcPr>
          <w:p>
            <w:r>
              <w:rPr>
                <w:rFonts w:ascii="Times New Roman" w:hAnsi="Times New Roman"/>
                <w:sz w:val="19"/>
              </w:rPr>
              <w:t>Outcome indicator, baseline vs current</w:t>
            </w:r>
          </w:p>
        </w:tc>
      </w:tr>
      <w:tr>
        <w:tc>
          <w:tcPr>
            <w:tcW w:type="dxa" w:w="1814"/>
            <w:vAlign w:val="top"/>
          </w:tcPr>
          <w:p>
            <w:r>
              <w:rPr>
                <w:rFonts w:ascii="Times New Roman" w:hAnsi="Times New Roman"/>
                <w:sz w:val="19"/>
              </w:rPr>
              <w:t>Distribution</w:t>
            </w:r>
          </w:p>
        </w:tc>
        <w:tc>
          <w:tcPr>
            <w:tcW w:type="dxa" w:w="4082"/>
            <w:vAlign w:val="top"/>
          </w:tcPr>
          <w:p>
            <w:r>
              <w:rPr>
                <w:rFonts w:ascii="Times New Roman" w:hAnsi="Times New Roman"/>
                <w:sz w:val="19"/>
              </w:rPr>
              <w:t>Siapa memperoleh manfaat dan siapa menanggung biaya?</w:t>
            </w:r>
          </w:p>
        </w:tc>
        <w:tc>
          <w:tcPr>
            <w:tcW w:type="dxa" w:w="3685"/>
            <w:vAlign w:val="top"/>
          </w:tcPr>
          <w:p>
            <w:r>
              <w:rPr>
                <w:rFonts w:ascii="Times New Roman" w:hAnsi="Times New Roman"/>
                <w:sz w:val="19"/>
              </w:rPr>
              <w:t>Kelompok, wilayah, income segment</w:t>
            </w:r>
          </w:p>
        </w:tc>
      </w:tr>
      <w:tr>
        <w:tc>
          <w:tcPr>
            <w:tcW w:type="dxa" w:w="1814"/>
            <w:vAlign w:val="top"/>
          </w:tcPr>
          <w:p>
            <w:r>
              <w:rPr>
                <w:rFonts w:ascii="Times New Roman" w:hAnsi="Times New Roman"/>
                <w:sz w:val="19"/>
              </w:rPr>
              <w:t>Net Additionality</w:t>
            </w:r>
          </w:p>
        </w:tc>
        <w:tc>
          <w:tcPr>
            <w:tcW w:type="dxa" w:w="4082"/>
            <w:vAlign w:val="top"/>
          </w:tcPr>
          <w:p>
            <w:r>
              <w:rPr>
                <w:rFonts w:ascii="Times New Roman" w:hAnsi="Times New Roman"/>
                <w:sz w:val="19"/>
              </w:rPr>
              <w:t>Apa yang benar-benar bertambah dibanding counterfactual?</w:t>
            </w:r>
          </w:p>
        </w:tc>
        <w:tc>
          <w:tcPr>
            <w:tcW w:type="dxa" w:w="3685"/>
            <w:vAlign w:val="top"/>
          </w:tcPr>
          <w:p>
            <w:r>
              <w:rPr>
                <w:rFonts w:ascii="Times New Roman" w:hAnsi="Times New Roman"/>
                <w:sz w:val="19"/>
              </w:rPr>
              <w:t>Baseline, comparison, crowding-in/out</w:t>
            </w:r>
          </w:p>
        </w:tc>
      </w:tr>
      <w:tr>
        <w:tc>
          <w:tcPr>
            <w:tcW w:type="dxa" w:w="1814"/>
            <w:vAlign w:val="top"/>
          </w:tcPr>
          <w:p>
            <w:r>
              <w:rPr>
                <w:rFonts w:ascii="Times New Roman" w:hAnsi="Times New Roman"/>
                <w:sz w:val="19"/>
              </w:rPr>
              <w:t>Public Value</w:t>
            </w:r>
          </w:p>
        </w:tc>
        <w:tc>
          <w:tcPr>
            <w:tcW w:type="dxa" w:w="4082"/>
            <w:vAlign w:val="top"/>
          </w:tcPr>
          <w:p>
            <w:r>
              <w:rPr>
                <w:rFonts w:ascii="Times New Roman" w:hAnsi="Times New Roman"/>
                <w:sz w:val="19"/>
              </w:rPr>
              <w:t>Apakah hasil efektif, efisien, adil, berkelanjutan, strategis, dan resilien?</w:t>
            </w:r>
          </w:p>
        </w:tc>
        <w:tc>
          <w:tcPr>
            <w:tcW w:type="dxa" w:w="3685"/>
            <w:vAlign w:val="top"/>
          </w:tcPr>
          <w:p>
            <w:r>
              <w:rPr>
                <w:rFonts w:ascii="Times New Roman" w:hAnsi="Times New Roman"/>
                <w:sz w:val="19"/>
              </w:rPr>
              <w:t>Dashboard multidimensi</w:t>
            </w:r>
          </w:p>
        </w:tc>
      </w:tr>
    </w:tbl>
    <w:p/>
    <w:tbl>
      <w:tblPr>
        <w:tblW w:type="auto" w:w="0"/>
        <w:jc w:val="center"/>
        <w:tblLook w:firstColumn="1" w:firstRow="1" w:lastColumn="0" w:lastRow="0" w:noHBand="0" w:noVBand="1" w:val="04A0"/>
      </w:tblPr>
      <w:tblGrid>
        <w:gridCol w:w="9972"/>
      </w:tblGrid>
      <w:tr>
        <w:tc>
          <w:tcPr>
            <w:tcW w:type="dxa" w:w="9972"/>
            <w:shd w:fill="EAF2F8"/>
          </w:tcPr>
          <w:p>
            <w:r>
              <w:rPr>
                <w:rFonts w:ascii="Times New Roman" w:hAnsi="Times New Roman"/>
                <w:b/>
                <w:color w:val="1F4E79"/>
                <w:sz w:val="23"/>
              </w:rPr>
              <w:t>Guardrail</w:t>
              <w:br/>
            </w:r>
            <w:r>
              <w:rPr>
                <w:rFonts w:ascii="Times New Roman" w:hAnsi="Times New Roman"/>
                <w:color w:val="1F1F1F"/>
                <w:sz w:val="22"/>
              </w:rPr>
              <w:t>Jangan buru-buru mereduksi Public Value menjadi satu skor. Profil multidimensi lebih berguna untuk diagnosis.</w:t>
            </w:r>
          </w:p>
        </w:tc>
      </w:tr>
    </w:tbl>
    <w:p>
      <w:r>
        <w:br w:type="page"/>
      </w:r>
    </w:p>
    <w:p>
      <w:pPr>
        <w:pStyle w:val="Heading1"/>
      </w:pPr>
      <w:r>
        <w:t>03. BAB III - MEMUNGUT TANPA MEMATIKAN</w:t>
      </w:r>
    </w:p>
    <w:p>
      <w:r>
        <w:rPr>
          <w:rFonts w:ascii="Times New Roman" w:hAnsi="Times New Roman"/>
          <w:i/>
          <w:color w:val="606060"/>
          <w:sz w:val="21"/>
        </w:rPr>
        <w:t>Rujukan buku: hlm. 29-90  |  Workbook: 03_REVENUE_QUALITY</w:t>
      </w:r>
    </w:p>
    <w:p>
      <w:r>
        <w:rPr>
          <w:rFonts w:ascii="Times New Roman" w:hAnsi="Times New Roman"/>
          <w:b/>
          <w:color w:val="1F4E79"/>
          <w:sz w:val="23"/>
        </w:rPr>
        <w:t>Rantai cultivation</w:t>
        <w:br/>
      </w:r>
      <w:r>
        <w:rPr>
          <w:rFonts w:ascii="Times New Roman" w:hAnsi="Times New Roman"/>
          <w:b/>
          <w:sz w:val="23"/>
        </w:rPr>
        <w:t>MICRO → FORMAL → PRODUCTIVE → SCALE UP → PROFITABLE → TAXABLE → LARGE TAXPAYER</w:t>
      </w:r>
    </w:p>
    <w:p>
      <w:r>
        <w:rPr>
          <w:rFonts w:ascii="Times New Roman" w:hAnsi="Times New Roman"/>
          <w:b/>
          <w:color w:val="1F4E79"/>
          <w:sz w:val="23"/>
        </w:rPr>
        <w:t>PAD Growth - kerangka analitis</w:t>
        <w:br/>
      </w:r>
      <w:r>
        <w:rPr>
          <w:rFonts w:ascii="Times New Roman" w:hAnsi="Times New Roman"/>
          <w:b/>
          <w:sz w:val="23"/>
        </w:rPr>
        <w:t>ΔPAD = ΔEconomic Base + ΔCompliance/Capture + ΔTax Burden</w:t>
      </w:r>
      <w:r>
        <w:rPr>
          <w:rFonts w:ascii="Times New Roman" w:hAnsi="Times New Roman"/>
          <w:i/>
          <w:color w:val="606060"/>
          <w:sz w:val="21"/>
        </w:rPr>
        <w:br/>
        <w:t>Bukan identitas statistik resmi; digunakan untuk memaksa pemisahan sumber pertumbuhan.</w:t>
      </w:r>
    </w:p>
    <w:p>
      <w:r>
        <w:rPr>
          <w:rFonts w:ascii="Times New Roman" w:hAnsi="Times New Roman"/>
          <w:b/>
          <w:color w:val="1F4E79"/>
          <w:sz w:val="23"/>
        </w:rPr>
        <w:t>Revenue Cultivation Ratio (RCR)</w:t>
        <w:br/>
      </w:r>
      <w:r>
        <w:rPr>
          <w:rFonts w:ascii="Times New Roman" w:hAnsi="Times New Roman"/>
          <w:b/>
          <w:sz w:val="23"/>
        </w:rPr>
        <w:t>RCR ≈ (Base Growth + Formalization + Compliance/Data Improvement) ÷ Total Revenue Growth</w:t>
      </w:r>
      <w:r>
        <w:rPr>
          <w:rFonts w:ascii="Times New Roman" w:hAnsi="Times New Roman"/>
          <w:i/>
          <w:color w:val="606060"/>
          <w:sz w:val="21"/>
        </w:rPr>
        <w:br/>
        <w:t>Pilot/diagnostic indicator; denominator dan pemisahan rate effect harus diuji.</w:t>
      </w:r>
    </w:p>
    <w:p>
      <w:r>
        <w:rPr>
          <w:rFonts w:ascii="Times New Roman" w:hAnsi="Times New Roman"/>
          <w:b w:val="0"/>
          <w:i w:val="0"/>
          <w:color w:val="1F1F1F"/>
        </w:rPr>
        <w:t>Contoh buku: Base Growth Rp200 miliar + Formalization Rp100 miliar + Compliance/Data Improvement Rp100 miliar atas total pertumbuhan penerimaan Rp500 miliar → RCR sekitar 80%.</w:t>
      </w:r>
    </w:p>
    <w:p>
      <w:pPr>
        <w:pStyle w:val="Heading2"/>
      </w:pPr>
      <w:r>
        <w:t>Tax Base Health Index (TBHI) - Dashboard, bukan skor tunggal</w:t>
      </w:r>
    </w:p>
    <w:tbl>
      <w:tblPr>
        <w:tblStyle w:val="TableGrid"/>
        <w:tblW w:type="auto" w:w="0"/>
        <w:jc w:val="center"/>
        <w:tblLook w:firstColumn="1" w:firstRow="1" w:lastColumn="0" w:lastRow="0" w:noHBand="0" w:noVBand="1" w:val="04A0"/>
      </w:tblPr>
      <w:tblGrid>
        <w:gridCol w:w="4986"/>
        <w:gridCol w:w="4986"/>
      </w:tblGrid>
      <w:tr>
        <w:tc>
          <w:tcPr>
            <w:tcW w:type="dxa" w:w="2835"/>
            <w:shd w:fill="D9EAF7"/>
            <w:vAlign w:val="center"/>
          </w:tcPr>
          <w:p>
            <w:pPr>
              <w:jc w:val="center"/>
            </w:pPr>
            <w:r>
              <w:rPr>
                <w:rFonts w:ascii="Times New Roman" w:hAnsi="Times New Roman"/>
                <w:b/>
                <w:sz w:val="19"/>
              </w:rPr>
              <w:t>Dimensi</w:t>
            </w:r>
          </w:p>
        </w:tc>
        <w:tc>
          <w:tcPr>
            <w:tcW w:type="dxa" w:w="6803"/>
            <w:shd w:fill="D9EAF7"/>
            <w:vAlign w:val="center"/>
          </w:tcPr>
          <w:p>
            <w:pPr>
              <w:jc w:val="center"/>
            </w:pPr>
            <w:r>
              <w:rPr>
                <w:rFonts w:ascii="Times New Roman" w:hAnsi="Times New Roman"/>
                <w:b/>
                <w:sz w:val="19"/>
              </w:rPr>
              <w:t>Contoh indikator</w:t>
            </w:r>
          </w:p>
        </w:tc>
      </w:tr>
      <w:tr>
        <w:tc>
          <w:tcPr>
            <w:tcW w:type="dxa" w:w="2835"/>
            <w:vAlign w:val="top"/>
          </w:tcPr>
          <w:p>
            <w:r>
              <w:rPr>
                <w:rFonts w:ascii="Times New Roman" w:hAnsi="Times New Roman"/>
                <w:sz w:val="19"/>
              </w:rPr>
              <w:t>Business formation</w:t>
            </w:r>
          </w:p>
        </w:tc>
        <w:tc>
          <w:tcPr>
            <w:tcW w:type="dxa" w:w="6803"/>
            <w:vAlign w:val="top"/>
          </w:tcPr>
          <w:p>
            <w:r>
              <w:rPr>
                <w:rFonts w:ascii="Times New Roman" w:hAnsi="Times New Roman"/>
                <w:sz w:val="19"/>
              </w:rPr>
              <w:t>Jumlah usaha baru, entry rate</w:t>
            </w:r>
          </w:p>
        </w:tc>
      </w:tr>
      <w:tr>
        <w:tc>
          <w:tcPr>
            <w:tcW w:type="dxa" w:w="2835"/>
            <w:vAlign w:val="top"/>
          </w:tcPr>
          <w:p>
            <w:r>
              <w:rPr>
                <w:rFonts w:ascii="Times New Roman" w:hAnsi="Times New Roman"/>
                <w:sz w:val="19"/>
              </w:rPr>
              <w:t>Survival</w:t>
            </w:r>
          </w:p>
        </w:tc>
        <w:tc>
          <w:tcPr>
            <w:tcW w:type="dxa" w:w="6803"/>
            <w:vAlign w:val="top"/>
          </w:tcPr>
          <w:p>
            <w:r>
              <w:rPr>
                <w:rFonts w:ascii="Times New Roman" w:hAnsi="Times New Roman"/>
                <w:sz w:val="19"/>
              </w:rPr>
              <w:t>Usaha bertahan 1/3/5 tahun</w:t>
            </w:r>
          </w:p>
        </w:tc>
      </w:tr>
      <w:tr>
        <w:tc>
          <w:tcPr>
            <w:tcW w:type="dxa" w:w="2835"/>
            <w:vAlign w:val="top"/>
          </w:tcPr>
          <w:p>
            <w:r>
              <w:rPr>
                <w:rFonts w:ascii="Times New Roman" w:hAnsi="Times New Roman"/>
                <w:sz w:val="19"/>
              </w:rPr>
              <w:t>Scale-up / graduation</w:t>
            </w:r>
          </w:p>
        </w:tc>
        <w:tc>
          <w:tcPr>
            <w:tcW w:type="dxa" w:w="6803"/>
            <w:vAlign w:val="top"/>
          </w:tcPr>
          <w:p>
            <w:r>
              <w:rPr>
                <w:rFonts w:ascii="Times New Roman" w:hAnsi="Times New Roman"/>
                <w:sz w:val="19"/>
              </w:rPr>
              <w:t>Usaha naik kelas, omzet/produktivitas meningkat</w:t>
            </w:r>
          </w:p>
        </w:tc>
      </w:tr>
      <w:tr>
        <w:tc>
          <w:tcPr>
            <w:tcW w:type="dxa" w:w="2835"/>
            <w:vAlign w:val="top"/>
          </w:tcPr>
          <w:p>
            <w:r>
              <w:rPr>
                <w:rFonts w:ascii="Times New Roman" w:hAnsi="Times New Roman"/>
                <w:sz w:val="19"/>
              </w:rPr>
              <w:t>Retention</w:t>
            </w:r>
          </w:p>
        </w:tc>
        <w:tc>
          <w:tcPr>
            <w:tcW w:type="dxa" w:w="6803"/>
            <w:vAlign w:val="top"/>
          </w:tcPr>
          <w:p>
            <w:r>
              <w:rPr>
                <w:rFonts w:ascii="Times New Roman" w:hAnsi="Times New Roman"/>
                <w:sz w:val="19"/>
              </w:rPr>
              <w:t>Usaha tetap beroperasi/berinvestasi di wilayah</w:t>
            </w:r>
          </w:p>
        </w:tc>
      </w:tr>
      <w:tr>
        <w:tc>
          <w:tcPr>
            <w:tcW w:type="dxa" w:w="2835"/>
            <w:vAlign w:val="top"/>
          </w:tcPr>
          <w:p>
            <w:r>
              <w:rPr>
                <w:rFonts w:ascii="Times New Roman" w:hAnsi="Times New Roman"/>
                <w:sz w:val="19"/>
              </w:rPr>
              <w:t>Formalization</w:t>
            </w:r>
          </w:p>
        </w:tc>
        <w:tc>
          <w:tcPr>
            <w:tcW w:type="dxa" w:w="6803"/>
            <w:vAlign w:val="top"/>
          </w:tcPr>
          <w:p>
            <w:r>
              <w:rPr>
                <w:rFonts w:ascii="Times New Roman" w:hAnsi="Times New Roman"/>
                <w:sz w:val="19"/>
              </w:rPr>
              <w:t>Transaksi/usaha formal, registrasi, data terintegrasi</w:t>
            </w:r>
          </w:p>
        </w:tc>
      </w:tr>
      <w:tr>
        <w:tc>
          <w:tcPr>
            <w:tcW w:type="dxa" w:w="2835"/>
            <w:vAlign w:val="top"/>
          </w:tcPr>
          <w:p>
            <w:r>
              <w:rPr>
                <w:rFonts w:ascii="Times New Roman" w:hAnsi="Times New Roman"/>
                <w:sz w:val="19"/>
              </w:rPr>
              <w:t>Employment</w:t>
            </w:r>
          </w:p>
        </w:tc>
        <w:tc>
          <w:tcPr>
            <w:tcW w:type="dxa" w:w="6803"/>
            <w:vAlign w:val="top"/>
          </w:tcPr>
          <w:p>
            <w:r>
              <w:rPr>
                <w:rFonts w:ascii="Times New Roman" w:hAnsi="Times New Roman"/>
                <w:sz w:val="19"/>
              </w:rPr>
              <w:t>Pekerjaan formal, upah, produktivitas tenaga kerja</w:t>
            </w:r>
          </w:p>
        </w:tc>
      </w:tr>
      <w:tr>
        <w:tc>
          <w:tcPr>
            <w:tcW w:type="dxa" w:w="2835"/>
            <w:vAlign w:val="top"/>
          </w:tcPr>
          <w:p>
            <w:r>
              <w:rPr>
                <w:rFonts w:ascii="Times New Roman" w:hAnsi="Times New Roman"/>
                <w:sz w:val="19"/>
              </w:rPr>
              <w:t>Investment</w:t>
            </w:r>
          </w:p>
        </w:tc>
        <w:tc>
          <w:tcPr>
            <w:tcW w:type="dxa" w:w="6803"/>
            <w:vAlign w:val="top"/>
          </w:tcPr>
          <w:p>
            <w:r>
              <w:rPr>
                <w:rFonts w:ascii="Times New Roman" w:hAnsi="Times New Roman"/>
                <w:sz w:val="19"/>
              </w:rPr>
              <w:t>PMTB/investasi lokal, ekspansi kapasitas</w:t>
            </w:r>
          </w:p>
        </w:tc>
      </w:tr>
      <w:tr>
        <w:tc>
          <w:tcPr>
            <w:tcW w:type="dxa" w:w="2835"/>
            <w:vAlign w:val="top"/>
          </w:tcPr>
          <w:p>
            <w:r>
              <w:rPr>
                <w:rFonts w:ascii="Times New Roman" w:hAnsi="Times New Roman"/>
                <w:sz w:val="19"/>
              </w:rPr>
              <w:t>Concentration</w:t>
            </w:r>
          </w:p>
        </w:tc>
        <w:tc>
          <w:tcPr>
            <w:tcW w:type="dxa" w:w="6803"/>
            <w:vAlign w:val="top"/>
          </w:tcPr>
          <w:p>
            <w:r>
              <w:rPr>
                <w:rFonts w:ascii="Times New Roman" w:hAnsi="Times New Roman"/>
                <w:sz w:val="19"/>
              </w:rPr>
              <w:t>Ketergantungan basis pada sedikit wajib pajak/sektor</w:t>
            </w:r>
          </w:p>
        </w:tc>
      </w:tr>
      <w:tr>
        <w:tc>
          <w:tcPr>
            <w:tcW w:type="dxa" w:w="2835"/>
            <w:vAlign w:val="top"/>
          </w:tcPr>
          <w:p>
            <w:r>
              <w:rPr>
                <w:rFonts w:ascii="Times New Roman" w:hAnsi="Times New Roman"/>
                <w:sz w:val="19"/>
              </w:rPr>
              <w:t>Compliance cost</w:t>
            </w:r>
          </w:p>
        </w:tc>
        <w:tc>
          <w:tcPr>
            <w:tcW w:type="dxa" w:w="6803"/>
            <w:vAlign w:val="top"/>
          </w:tcPr>
          <w:p>
            <w:r>
              <w:rPr>
                <w:rFonts w:ascii="Times New Roman" w:hAnsi="Times New Roman"/>
                <w:sz w:val="19"/>
              </w:rPr>
              <w:t>Waktu/biaya untuk patuh; high compliance + low compliance cost</w:t>
            </w:r>
          </w:p>
        </w:tc>
      </w:tr>
    </w:tbl>
    <w:p/>
    <w:p>
      <w:pPr>
        <w:pStyle w:val="Heading2"/>
      </w:pPr>
      <w:r>
        <w:t>Revenue Quality Dashboard</w:t>
      </w:r>
    </w:p>
    <w:p>
      <w:r>
        <w:rPr>
          <w:rFonts w:ascii="Times New Roman" w:hAnsi="Times New Roman"/>
          <w:b/>
          <w:i w:val="0"/>
          <w:color w:val="1F1F1F"/>
        </w:rPr>
        <w:t>Payung utama: Revenue | Base | Compliance | Cost | Distribution | Competitiveness | Cultivation | Public Value.</w:t>
      </w:r>
    </w:p>
    <w:tbl>
      <w:tblPr>
        <w:tblW w:type="auto" w:w="0"/>
        <w:jc w:val="center"/>
        <w:tblLook w:firstColumn="1" w:firstRow="1" w:lastColumn="0" w:lastRow="0" w:noHBand="0" w:noVBand="1" w:val="04A0"/>
      </w:tblPr>
      <w:tblGrid>
        <w:gridCol w:w="9972"/>
      </w:tblGrid>
      <w:tr>
        <w:tc>
          <w:tcPr>
            <w:tcW w:type="dxa" w:w="9972"/>
            <w:shd w:fill="EAF2F8"/>
          </w:tcPr>
          <w:p>
            <w:r>
              <w:rPr>
                <w:rFonts w:ascii="Times New Roman" w:hAnsi="Times New Roman"/>
                <w:b/>
                <w:color w:val="1F4E79"/>
                <w:sz w:val="23"/>
              </w:rPr>
              <w:t>Prinsip</w:t>
              <w:br/>
            </w:r>
            <w:r>
              <w:rPr>
                <w:rFonts w:ascii="Times New Roman" w:hAnsi="Times New Roman"/>
                <w:color w:val="1F1F1F"/>
                <w:sz w:val="22"/>
              </w:rPr>
              <w:t>RCR dan TBHI ditempatkan sebagai sub-indikator dalam Revenue Quality Dashboard, bukan sebagai perlombaan peringkat.</w:t>
            </w:r>
          </w:p>
        </w:tc>
      </w:tr>
    </w:tbl>
    <w:p>
      <w:r>
        <w:br w:type="page"/>
      </w:r>
    </w:p>
    <w:p>
      <w:pPr>
        <w:pStyle w:val="Heading1"/>
      </w:pPr>
      <w:r>
        <w:t>04. BAB IV - SETELAH TANAHNYA DIGALI, APA YANG TERSISA?</w:t>
      </w:r>
    </w:p>
    <w:p>
      <w:r>
        <w:rPr>
          <w:rFonts w:ascii="Times New Roman" w:hAnsi="Times New Roman"/>
          <w:i/>
          <w:color w:val="606060"/>
          <w:sz w:val="21"/>
        </w:rPr>
        <w:t>Rujukan buku: hlm. 91-110  |  Workbook: 04_RRR_SDA</w:t>
      </w:r>
    </w:p>
    <w:p>
      <w:r>
        <w:rPr>
          <w:rFonts w:ascii="Times New Roman" w:hAnsi="Times New Roman"/>
          <w:b/>
          <w:color w:val="1F4E79"/>
          <w:sz w:val="23"/>
        </w:rPr>
        <w:t>Rantai SDA</w:t>
        <w:br/>
      </w:r>
      <w:r>
        <w:rPr>
          <w:rFonts w:ascii="Times New Roman" w:hAnsi="Times New Roman"/>
          <w:b/>
          <w:sz w:val="23"/>
        </w:rPr>
        <w:t>NATURAL WEALTH → EXTRACTION → RESOURCE VALUE → ECONOMIC RENT → STATE SHARE → ECOLOGICAL RESTORATION → REPLACEMENT WEALTH → INTERGENERATIONAL WEALTH</w:t>
      </w:r>
    </w:p>
    <w:p>
      <w:pPr>
        <w:pStyle w:val="Heading2"/>
      </w:pPr>
      <w:r>
        <w:t>Data publik BPS - batu bara 2024</w:t>
      </w:r>
    </w:p>
    <w:tbl>
      <w:tblPr>
        <w:tblStyle w:val="TableGrid"/>
        <w:tblW w:type="auto" w:w="0"/>
        <w:jc w:val="center"/>
        <w:tblLook w:firstColumn="1" w:firstRow="1" w:lastColumn="0" w:lastRow="0" w:noHBand="0" w:noVBand="1" w:val="04A0"/>
      </w:tblPr>
      <w:tblGrid>
        <w:gridCol w:w="3324"/>
        <w:gridCol w:w="3324"/>
        <w:gridCol w:w="3324"/>
      </w:tblGrid>
      <w:tr>
        <w:tc>
          <w:tcPr>
            <w:tcW w:type="dxa" w:w="3685"/>
            <w:shd w:fill="D9EAF7"/>
            <w:vAlign w:val="center"/>
          </w:tcPr>
          <w:p>
            <w:pPr>
              <w:jc w:val="center"/>
            </w:pPr>
            <w:r>
              <w:rPr>
                <w:rFonts w:ascii="Times New Roman" w:hAnsi="Times New Roman"/>
                <w:b/>
                <w:sz w:val="19"/>
              </w:rPr>
              <w:t>Indikator</w:t>
            </w:r>
          </w:p>
        </w:tc>
        <w:tc>
          <w:tcPr>
            <w:tcW w:type="dxa" w:w="2835"/>
            <w:shd w:fill="D9EAF7"/>
            <w:vAlign w:val="center"/>
          </w:tcPr>
          <w:p>
            <w:pPr>
              <w:jc w:val="center"/>
            </w:pPr>
            <w:r>
              <w:rPr>
                <w:rFonts w:ascii="Times New Roman" w:hAnsi="Times New Roman"/>
                <w:b/>
                <w:sz w:val="19"/>
              </w:rPr>
              <w:t>Nilai</w:t>
            </w:r>
          </w:p>
        </w:tc>
        <w:tc>
          <w:tcPr>
            <w:tcW w:type="dxa" w:w="2835"/>
            <w:shd w:fill="D9EAF7"/>
            <w:vAlign w:val="center"/>
          </w:tcPr>
          <w:p>
            <w:pPr>
              <w:jc w:val="center"/>
            </w:pPr>
            <w:r>
              <w:rPr>
                <w:rFonts w:ascii="Times New Roman" w:hAnsi="Times New Roman"/>
                <w:b/>
                <w:sz w:val="19"/>
              </w:rPr>
              <w:t>Status</w:t>
            </w:r>
          </w:p>
        </w:tc>
      </w:tr>
      <w:tr>
        <w:tc>
          <w:tcPr>
            <w:tcW w:type="dxa" w:w="3685"/>
            <w:vAlign w:val="top"/>
          </w:tcPr>
          <w:p>
            <w:r>
              <w:rPr>
                <w:rFonts w:ascii="Times New Roman" w:hAnsi="Times New Roman"/>
                <w:sz w:val="19"/>
              </w:rPr>
              <w:t>Ekstraksi batu bara Class A</w:t>
            </w:r>
          </w:p>
        </w:tc>
        <w:tc>
          <w:tcPr>
            <w:tcW w:type="dxa" w:w="2835"/>
            <w:vAlign w:val="top"/>
          </w:tcPr>
          <w:p>
            <w:r>
              <w:rPr>
                <w:rFonts w:ascii="Times New Roman" w:hAnsi="Times New Roman"/>
                <w:sz w:val="19"/>
              </w:rPr>
              <w:t>±836 juta ton</w:t>
            </w:r>
          </w:p>
        </w:tc>
        <w:tc>
          <w:tcPr>
            <w:tcW w:type="dxa" w:w="2835"/>
            <w:vAlign w:val="top"/>
          </w:tcPr>
          <w:p>
            <w:r>
              <w:rPr>
                <w:rFonts w:ascii="Times New Roman" w:hAnsi="Times New Roman"/>
                <w:sz w:val="19"/>
              </w:rPr>
              <w:t>Data BPS/Sisnerling</w:t>
            </w:r>
          </w:p>
        </w:tc>
      </w:tr>
      <w:tr>
        <w:tc>
          <w:tcPr>
            <w:tcW w:type="dxa" w:w="3685"/>
            <w:vAlign w:val="top"/>
          </w:tcPr>
          <w:p>
            <w:r>
              <w:rPr>
                <w:rFonts w:ascii="Times New Roman" w:hAnsi="Times New Roman"/>
                <w:sz w:val="19"/>
              </w:rPr>
              <w:t>Stok akhir</w:t>
            </w:r>
          </w:p>
        </w:tc>
        <w:tc>
          <w:tcPr>
            <w:tcW w:type="dxa" w:w="2835"/>
            <w:vAlign w:val="top"/>
          </w:tcPr>
          <w:p>
            <w:r>
              <w:rPr>
                <w:rFonts w:ascii="Times New Roman" w:hAnsi="Times New Roman"/>
                <w:sz w:val="19"/>
              </w:rPr>
              <w:t>±31,956 miliar ton</w:t>
            </w:r>
          </w:p>
        </w:tc>
        <w:tc>
          <w:tcPr>
            <w:tcW w:type="dxa" w:w="2835"/>
            <w:vAlign w:val="top"/>
          </w:tcPr>
          <w:p>
            <w:r>
              <w:rPr>
                <w:rFonts w:ascii="Times New Roman" w:hAnsi="Times New Roman"/>
                <w:sz w:val="19"/>
              </w:rPr>
              <w:t>Data BPS/Sisnerling</w:t>
            </w:r>
          </w:p>
        </w:tc>
      </w:tr>
      <w:tr>
        <w:tc>
          <w:tcPr>
            <w:tcW w:type="dxa" w:w="3685"/>
            <w:vAlign w:val="top"/>
          </w:tcPr>
          <w:p>
            <w:r>
              <w:rPr>
                <w:rFonts w:ascii="Times New Roman" w:hAnsi="Times New Roman"/>
                <w:sz w:val="19"/>
              </w:rPr>
              <w:t>Nilai moneter stok akhir</w:t>
            </w:r>
          </w:p>
        </w:tc>
        <w:tc>
          <w:tcPr>
            <w:tcW w:type="dxa" w:w="2835"/>
            <w:vAlign w:val="top"/>
          </w:tcPr>
          <w:p>
            <w:r>
              <w:rPr>
                <w:rFonts w:ascii="Times New Roman" w:hAnsi="Times New Roman"/>
                <w:sz w:val="19"/>
              </w:rPr>
              <w:t>±Rp9.807,566 triliun</w:t>
            </w:r>
          </w:p>
        </w:tc>
        <w:tc>
          <w:tcPr>
            <w:tcW w:type="dxa" w:w="2835"/>
            <w:vAlign w:val="top"/>
          </w:tcPr>
          <w:p>
            <w:r>
              <w:rPr>
                <w:rFonts w:ascii="Times New Roman" w:hAnsi="Times New Roman"/>
                <w:sz w:val="19"/>
              </w:rPr>
              <w:t>Data BPS/Sisnerling</w:t>
            </w:r>
          </w:p>
        </w:tc>
      </w:tr>
      <w:tr>
        <w:tc>
          <w:tcPr>
            <w:tcW w:type="dxa" w:w="3685"/>
            <w:vAlign w:val="top"/>
          </w:tcPr>
          <w:p>
            <w:r>
              <w:rPr>
                <w:rFonts w:ascii="Times New Roman" w:hAnsi="Times New Roman"/>
                <w:sz w:val="19"/>
              </w:rPr>
              <w:t>Deplesi</w:t>
            </w:r>
          </w:p>
        </w:tc>
        <w:tc>
          <w:tcPr>
            <w:tcW w:type="dxa" w:w="2835"/>
            <w:vAlign w:val="top"/>
          </w:tcPr>
          <w:p>
            <w:r>
              <w:rPr>
                <w:rFonts w:ascii="Times New Roman" w:hAnsi="Times New Roman"/>
                <w:sz w:val="19"/>
              </w:rPr>
              <w:t>±Rp306,797 triliun</w:t>
            </w:r>
          </w:p>
        </w:tc>
        <w:tc>
          <w:tcPr>
            <w:tcW w:type="dxa" w:w="2835"/>
            <w:vAlign w:val="top"/>
          </w:tcPr>
          <w:p>
            <w:r>
              <w:rPr>
                <w:rFonts w:ascii="Times New Roman" w:hAnsi="Times New Roman"/>
                <w:sz w:val="19"/>
              </w:rPr>
              <w:t>Data BPS/Sisnerling</w:t>
            </w:r>
          </w:p>
        </w:tc>
      </w:tr>
      <w:tr>
        <w:tc>
          <w:tcPr>
            <w:tcW w:type="dxa" w:w="3685"/>
            <w:vAlign w:val="top"/>
          </w:tcPr>
          <w:p>
            <w:r>
              <w:rPr>
                <w:rFonts w:ascii="Times New Roman" w:hAnsi="Times New Roman"/>
                <w:sz w:val="19"/>
              </w:rPr>
              <w:t>Deplesi per ton</w:t>
            </w:r>
          </w:p>
        </w:tc>
        <w:tc>
          <w:tcPr>
            <w:tcW w:type="dxa" w:w="2835"/>
            <w:vAlign w:val="top"/>
          </w:tcPr>
          <w:p>
            <w:r>
              <w:rPr>
                <w:rFonts w:ascii="Times New Roman" w:hAnsi="Times New Roman"/>
                <w:sz w:val="19"/>
              </w:rPr>
              <w:t>±Rp366.982/ton</w:t>
            </w:r>
          </w:p>
        </w:tc>
        <w:tc>
          <w:tcPr>
            <w:tcW w:type="dxa" w:w="2835"/>
            <w:vAlign w:val="top"/>
          </w:tcPr>
          <w:p>
            <w:r>
              <w:rPr>
                <w:rFonts w:ascii="Times New Roman" w:hAnsi="Times New Roman"/>
                <w:sz w:val="19"/>
              </w:rPr>
              <w:t>Turunan aritmetis</w:t>
            </w:r>
          </w:p>
        </w:tc>
      </w:tr>
      <w:tr>
        <w:tc>
          <w:tcPr>
            <w:tcW w:type="dxa" w:w="3685"/>
            <w:vAlign w:val="top"/>
          </w:tcPr>
          <w:p>
            <w:r>
              <w:rPr>
                <w:rFonts w:ascii="Times New Roman" w:hAnsi="Times New Roman"/>
                <w:sz w:val="19"/>
              </w:rPr>
              <w:t>Total deplesi aset lingkungan yang dicakup</w:t>
            </w:r>
          </w:p>
        </w:tc>
        <w:tc>
          <w:tcPr>
            <w:tcW w:type="dxa" w:w="2835"/>
            <w:vAlign w:val="top"/>
          </w:tcPr>
          <w:p>
            <w:r>
              <w:rPr>
                <w:rFonts w:ascii="Times New Roman" w:hAnsi="Times New Roman"/>
                <w:sz w:val="19"/>
              </w:rPr>
              <w:t>±Rp707,02 triliun</w:t>
            </w:r>
          </w:p>
        </w:tc>
        <w:tc>
          <w:tcPr>
            <w:tcW w:type="dxa" w:w="2835"/>
            <w:vAlign w:val="top"/>
          </w:tcPr>
          <w:p>
            <w:r>
              <w:rPr>
                <w:rFonts w:ascii="Times New Roman" w:hAnsi="Times New Roman"/>
                <w:sz w:val="19"/>
              </w:rPr>
              <w:t>Data BPS/Sisnerling</w:t>
            </w:r>
          </w:p>
        </w:tc>
      </w:tr>
      <w:tr>
        <w:tc>
          <w:tcPr>
            <w:tcW w:type="dxa" w:w="3685"/>
            <w:vAlign w:val="top"/>
          </w:tcPr>
          <w:p>
            <w:r>
              <w:rPr>
                <w:rFonts w:ascii="Times New Roman" w:hAnsi="Times New Roman"/>
                <w:sz w:val="19"/>
              </w:rPr>
              <w:t>Porsi batu bara terhadap total deplesi</w:t>
            </w:r>
          </w:p>
        </w:tc>
        <w:tc>
          <w:tcPr>
            <w:tcW w:type="dxa" w:w="2835"/>
            <w:vAlign w:val="top"/>
          </w:tcPr>
          <w:p>
            <w:r>
              <w:rPr>
                <w:rFonts w:ascii="Times New Roman" w:hAnsi="Times New Roman"/>
                <w:sz w:val="19"/>
              </w:rPr>
              <w:t>±43,4%</w:t>
            </w:r>
          </w:p>
        </w:tc>
        <w:tc>
          <w:tcPr>
            <w:tcW w:type="dxa" w:w="2835"/>
            <w:vAlign w:val="top"/>
          </w:tcPr>
          <w:p>
            <w:r>
              <w:rPr>
                <w:rFonts w:ascii="Times New Roman" w:hAnsi="Times New Roman"/>
                <w:sz w:val="19"/>
              </w:rPr>
              <w:t>Turunan aritmetis</w:t>
            </w:r>
          </w:p>
        </w:tc>
      </w:tr>
    </w:tbl>
    <w:p/>
    <w:p>
      <w:r>
        <w:rPr>
          <w:rFonts w:ascii="Times New Roman" w:hAnsi="Times New Roman"/>
          <w:b w:val="0"/>
          <w:i/>
          <w:color w:val="606060"/>
        </w:rPr>
        <w:t>Sumber sebagaimana disebut di buku: BPS, Sistem Terintegrasi Neraca Lingkungan dan Ekonomi Indonesia 2020-2024, Gambar 5.2 dan Lampiran 45-46. Angka 2024 berstatus sangat sementara.</w:t>
      </w:r>
    </w:p>
    <w:p>
      <w:pPr>
        <w:pStyle w:val="Heading2"/>
      </w:pPr>
      <w:r>
        <w:t>Simulasi pedagogis - bukan angka resmi/tarif</w:t>
      </w:r>
    </w:p>
    <w:tbl>
      <w:tblPr>
        <w:tblStyle w:val="TableGrid"/>
        <w:tblW w:type="auto" w:w="0"/>
        <w:jc w:val="center"/>
        <w:tblLook w:firstColumn="1" w:firstRow="1" w:lastColumn="0" w:lastRow="0" w:noHBand="0" w:noVBand="1" w:val="04A0"/>
      </w:tblPr>
      <w:tblGrid>
        <w:gridCol w:w="4986"/>
        <w:gridCol w:w="4986"/>
      </w:tblGrid>
      <w:tr>
        <w:tc>
          <w:tcPr>
            <w:tcW w:type="dxa" w:w="5102"/>
            <w:shd w:fill="D9EAF7"/>
            <w:vAlign w:val="center"/>
          </w:tcPr>
          <w:p>
            <w:pPr>
              <w:jc w:val="center"/>
            </w:pPr>
            <w:r>
              <w:rPr>
                <w:rFonts w:ascii="Times New Roman" w:hAnsi="Times New Roman"/>
                <w:b/>
                <w:sz w:val="19"/>
              </w:rPr>
              <w:t>Asumsi/benchmark</w:t>
            </w:r>
          </w:p>
        </w:tc>
        <w:tc>
          <w:tcPr>
            <w:tcW w:type="dxa" w:w="3969"/>
            <w:shd w:fill="D9EAF7"/>
            <w:vAlign w:val="center"/>
          </w:tcPr>
          <w:p>
            <w:pPr>
              <w:jc w:val="center"/>
            </w:pPr>
            <w:r>
              <w:rPr>
                <w:rFonts w:ascii="Times New Roman" w:hAnsi="Times New Roman"/>
                <w:b/>
                <w:sz w:val="19"/>
              </w:rPr>
              <w:t>Nilai</w:t>
            </w:r>
          </w:p>
        </w:tc>
      </w:tr>
      <w:tr>
        <w:tc>
          <w:tcPr>
            <w:tcW w:type="dxa" w:w="5102"/>
            <w:vAlign w:val="top"/>
          </w:tcPr>
          <w:p>
            <w:r>
              <w:rPr>
                <w:rFonts w:ascii="Times New Roman" w:hAnsi="Times New Roman"/>
                <w:sz w:val="19"/>
              </w:rPr>
              <w:t>Depletion benchmark</w:t>
            </w:r>
          </w:p>
        </w:tc>
        <w:tc>
          <w:tcPr>
            <w:tcW w:type="dxa" w:w="3969"/>
            <w:vAlign w:val="top"/>
          </w:tcPr>
          <w:p>
            <w:r>
              <w:rPr>
                <w:rFonts w:ascii="Times New Roman" w:hAnsi="Times New Roman"/>
                <w:sz w:val="19"/>
              </w:rPr>
              <w:t>Rp366.982/ton</w:t>
            </w:r>
          </w:p>
        </w:tc>
      </w:tr>
      <w:tr>
        <w:tc>
          <w:tcPr>
            <w:tcW w:type="dxa" w:w="5102"/>
            <w:vAlign w:val="top"/>
          </w:tcPr>
          <w:p>
            <w:r>
              <w:rPr>
                <w:rFonts w:ascii="Times New Roman" w:hAnsi="Times New Roman"/>
                <w:sz w:val="19"/>
              </w:rPr>
              <w:t>Economic rent (asumsi simulasi)</w:t>
            </w:r>
          </w:p>
        </w:tc>
        <w:tc>
          <w:tcPr>
            <w:tcW w:type="dxa" w:w="3969"/>
            <w:vAlign w:val="top"/>
          </w:tcPr>
          <w:p>
            <w:r>
              <w:rPr>
                <w:rFonts w:ascii="Times New Roman" w:hAnsi="Times New Roman"/>
                <w:sz w:val="19"/>
              </w:rPr>
              <w:t>Rp550.000/ton</w:t>
            </w:r>
          </w:p>
        </w:tc>
      </w:tr>
      <w:tr>
        <w:tc>
          <w:tcPr>
            <w:tcW w:type="dxa" w:w="5102"/>
            <w:vAlign w:val="top"/>
          </w:tcPr>
          <w:p>
            <w:r>
              <w:rPr>
                <w:rFonts w:ascii="Times New Roman" w:hAnsi="Times New Roman"/>
                <w:sz w:val="19"/>
              </w:rPr>
              <w:t>Normal return/risk premium (asumsi)</w:t>
            </w:r>
          </w:p>
        </w:tc>
        <w:tc>
          <w:tcPr>
            <w:tcW w:type="dxa" w:w="3969"/>
            <w:vAlign w:val="top"/>
          </w:tcPr>
          <w:p>
            <w:r>
              <w:rPr>
                <w:rFonts w:ascii="Times New Roman" w:hAnsi="Times New Roman"/>
                <w:sz w:val="19"/>
              </w:rPr>
              <w:t>Rp150.000/ton</w:t>
            </w:r>
          </w:p>
        </w:tc>
      </w:tr>
      <w:tr>
        <w:tc>
          <w:tcPr>
            <w:tcW w:type="dxa" w:w="5102"/>
            <w:vAlign w:val="top"/>
          </w:tcPr>
          <w:p>
            <w:r>
              <w:rPr>
                <w:rFonts w:ascii="Times New Roman" w:hAnsi="Times New Roman"/>
                <w:sz w:val="19"/>
              </w:rPr>
              <w:t>Replacement-wealth benchmark</w:t>
            </w:r>
          </w:p>
        </w:tc>
        <w:tc>
          <w:tcPr>
            <w:tcW w:type="dxa" w:w="3969"/>
            <w:vAlign w:val="top"/>
          </w:tcPr>
          <w:p>
            <w:r>
              <w:rPr>
                <w:rFonts w:ascii="Times New Roman" w:hAnsi="Times New Roman"/>
                <w:sz w:val="19"/>
              </w:rPr>
              <w:t>Disetarakan dengan deplesi untuk simulasi</w:t>
            </w:r>
          </w:p>
        </w:tc>
      </w:tr>
      <w:tr>
        <w:tc>
          <w:tcPr>
            <w:tcW w:type="dxa" w:w="5102"/>
            <w:vAlign w:val="top"/>
          </w:tcPr>
          <w:p>
            <w:r>
              <w:rPr>
                <w:rFonts w:ascii="Times New Roman" w:hAnsi="Times New Roman"/>
                <w:sz w:val="19"/>
              </w:rPr>
              <w:t>Konsekuensi aritmetis benchmark/rent</w:t>
            </w:r>
          </w:p>
        </w:tc>
        <w:tc>
          <w:tcPr>
            <w:tcW w:type="dxa" w:w="3969"/>
            <w:vAlign w:val="top"/>
          </w:tcPr>
          <w:p>
            <w:r>
              <w:rPr>
                <w:rFonts w:ascii="Times New Roman" w:hAnsi="Times New Roman"/>
                <w:sz w:val="19"/>
              </w:rPr>
              <w:t>±66,7%</w:t>
            </w:r>
          </w:p>
        </w:tc>
      </w:tr>
    </w:tbl>
    <w:p/>
    <w:p>
      <w:r>
        <w:rPr>
          <w:rFonts w:ascii="Times New Roman" w:hAnsi="Times New Roman"/>
          <w:b/>
          <w:color w:val="1F4E79"/>
          <w:sz w:val="23"/>
        </w:rPr>
        <w:t>Resource Replacement Ratio (RRR)</w:t>
        <w:br/>
      </w:r>
      <w:r>
        <w:rPr>
          <w:rFonts w:ascii="Times New Roman" w:hAnsi="Times New Roman"/>
          <w:b/>
          <w:sz w:val="23"/>
        </w:rPr>
        <w:t>RRR = Verified Replacement-Wealth Formation Attributable to Resource Revenues ÷ Adjusted Depletion Benchmark</w:t>
      </w:r>
      <w:r>
        <w:rPr>
          <w:rFonts w:ascii="Times New Roman" w:hAnsi="Times New Roman"/>
          <w:i/>
          <w:color w:val="606060"/>
          <w:sz w:val="21"/>
        </w:rPr>
        <w:br/>
        <w:t>RRR adalah kerangka diagnostik. Hindari double counting dan pastikan replacement wealth dapat diverifikasi.</w:t>
      </w:r>
    </w:p>
    <w:tbl>
      <w:tblPr>
        <w:tblStyle w:val="TableGrid"/>
        <w:tblW w:type="auto" w:w="0"/>
        <w:jc w:val="center"/>
        <w:tblLook w:firstColumn="1" w:firstRow="1" w:lastColumn="0" w:lastRow="0" w:noHBand="0" w:noVBand="1" w:val="04A0"/>
      </w:tblPr>
      <w:tblGrid>
        <w:gridCol w:w="4986"/>
        <w:gridCol w:w="4986"/>
      </w:tblGrid>
      <w:tr>
        <w:tc>
          <w:tcPr>
            <w:tcW w:type="dxa" w:w="1701"/>
            <w:shd w:fill="D9EAF7"/>
            <w:vAlign w:val="center"/>
          </w:tcPr>
          <w:p>
            <w:pPr>
              <w:spacing w:after="0" w:before="0"/>
              <w:jc w:val="center"/>
            </w:pPr>
            <w:r>
              <w:rPr>
                <w:rFonts w:ascii="Times New Roman" w:hAnsi="Times New Roman"/>
                <w:b/>
                <w:sz w:val="17"/>
              </w:rPr>
              <w:t>RRR</w:t>
            </w:r>
          </w:p>
        </w:tc>
        <w:tc>
          <w:tcPr>
            <w:tcW w:type="dxa" w:w="7370"/>
            <w:shd w:fill="D9EAF7"/>
            <w:vAlign w:val="center"/>
          </w:tcPr>
          <w:p>
            <w:pPr>
              <w:spacing w:after="0" w:before="0"/>
              <w:jc w:val="center"/>
            </w:pPr>
            <w:r>
              <w:rPr>
                <w:rFonts w:ascii="Times New Roman" w:hAnsi="Times New Roman"/>
                <w:b/>
                <w:sz w:val="17"/>
              </w:rPr>
              <w:t>Cara baca</w:t>
            </w:r>
          </w:p>
        </w:tc>
      </w:tr>
      <w:tr>
        <w:tc>
          <w:tcPr>
            <w:tcW w:type="dxa" w:w="1701"/>
            <w:vAlign w:val="top"/>
          </w:tcPr>
          <w:p>
            <w:pPr>
              <w:spacing w:after="0" w:before="0"/>
            </w:pPr>
            <w:r>
              <w:rPr>
                <w:rFonts w:ascii="Times New Roman" w:hAnsi="Times New Roman"/>
                <w:sz w:val="17"/>
              </w:rPr>
              <w:t>&lt; 1,0</w:t>
            </w:r>
          </w:p>
        </w:tc>
        <w:tc>
          <w:tcPr>
            <w:tcW w:type="dxa" w:w="7370"/>
            <w:vAlign w:val="top"/>
          </w:tcPr>
          <w:p>
            <w:pPr>
              <w:spacing w:after="0" w:before="0"/>
            </w:pPr>
            <w:r>
              <w:rPr>
                <w:rFonts w:ascii="Times New Roman" w:hAnsi="Times New Roman"/>
                <w:sz w:val="17"/>
              </w:rPr>
              <w:t>Pembentukan kekayaan pengganti di bawah benchmark deplesi.</w:t>
            </w:r>
          </w:p>
        </w:tc>
      </w:tr>
      <w:tr>
        <w:tc>
          <w:tcPr>
            <w:tcW w:type="dxa" w:w="1701"/>
            <w:vAlign w:val="top"/>
          </w:tcPr>
          <w:p>
            <w:pPr>
              <w:spacing w:after="0" w:before="0"/>
            </w:pPr>
            <w:r>
              <w:rPr>
                <w:rFonts w:ascii="Times New Roman" w:hAnsi="Times New Roman"/>
                <w:sz w:val="17"/>
              </w:rPr>
              <w:t>= 1,0</w:t>
            </w:r>
          </w:p>
        </w:tc>
        <w:tc>
          <w:tcPr>
            <w:tcW w:type="dxa" w:w="7370"/>
            <w:vAlign w:val="top"/>
          </w:tcPr>
          <w:p>
            <w:pPr>
              <w:spacing w:after="0" w:before="0"/>
            </w:pPr>
            <w:r>
              <w:rPr>
                <w:rFonts w:ascii="Times New Roman" w:hAnsi="Times New Roman"/>
                <w:sz w:val="17"/>
              </w:rPr>
              <w:t>Setara dengan benchmark deplesi yang digunakan.</w:t>
            </w:r>
          </w:p>
        </w:tc>
      </w:tr>
      <w:tr>
        <w:tc>
          <w:tcPr>
            <w:tcW w:type="dxa" w:w="1701"/>
            <w:vAlign w:val="top"/>
          </w:tcPr>
          <w:p>
            <w:pPr>
              <w:spacing w:after="0" w:before="0"/>
            </w:pPr>
            <w:r>
              <w:rPr>
                <w:rFonts w:ascii="Times New Roman" w:hAnsi="Times New Roman"/>
                <w:sz w:val="17"/>
              </w:rPr>
              <w:t>&gt; 1,0</w:t>
            </w:r>
          </w:p>
        </w:tc>
        <w:tc>
          <w:tcPr>
            <w:tcW w:type="dxa" w:w="7370"/>
            <w:vAlign w:val="top"/>
          </w:tcPr>
          <w:p>
            <w:pPr>
              <w:spacing w:after="0" w:before="0"/>
            </w:pPr>
            <w:r>
              <w:rPr>
                <w:rFonts w:ascii="Times New Roman" w:hAnsi="Times New Roman"/>
                <w:sz w:val="17"/>
              </w:rPr>
              <w:t>Pembentukan kekayaan pengganti melebihi benchmark; kualitas aset tetap harus diuji.</w:t>
            </w:r>
          </w:p>
        </w:tc>
      </w:tr>
    </w:tbl>
    <w:p/>
    <w:p>
      <w:r>
        <w:br w:type="page"/>
      </w:r>
    </w:p>
    <w:p>
      <w:pPr>
        <w:pStyle w:val="Heading1"/>
      </w:pPr>
      <w:r>
        <w:t>05. BAB V - NERACA YANG BELUM LENGKAP</w:t>
      </w:r>
    </w:p>
    <w:p>
      <w:r>
        <w:rPr>
          <w:rFonts w:ascii="Times New Roman" w:hAnsi="Times New Roman"/>
          <w:i/>
          <w:color w:val="606060"/>
          <w:sz w:val="21"/>
        </w:rPr>
        <w:t>Rujukan buku: hlm. 111-122  |  Workbook: 05_SOV_BALANCE</w:t>
      </w:r>
    </w:p>
    <w:p>
      <w:r>
        <w:rPr>
          <w:rFonts w:ascii="Times New Roman" w:hAnsi="Times New Roman"/>
          <w:b/>
          <w:color w:val="1F4E79"/>
          <w:sz w:val="23"/>
        </w:rPr>
        <w:t>Natural Resource Roll-Forward</w:t>
        <w:br/>
      </w:r>
      <w:r>
        <w:rPr>
          <w:rFonts w:ascii="Times New Roman" w:hAnsi="Times New Roman"/>
          <w:b/>
          <w:sz w:val="23"/>
        </w:rPr>
        <w:t>Opening Stock + Discoveries/Reappraisal − Depletion ± Revaluation ± Other Changes = Closing Natural Resource Asset</w:t>
      </w:r>
    </w:p>
    <w:p>
      <w:r>
        <w:rPr>
          <w:rFonts w:ascii="Times New Roman" w:hAnsi="Times New Roman"/>
          <w:b/>
          <w:color w:val="1F4E79"/>
          <w:sz w:val="23"/>
        </w:rPr>
        <w:t>Net Defined Benefit Position</w:t>
        <w:br/>
      </w:r>
      <w:r>
        <w:rPr>
          <w:rFonts w:ascii="Times New Roman" w:hAnsi="Times New Roman"/>
          <w:b/>
          <w:sz w:val="23"/>
        </w:rPr>
        <w:t>Present Value of Defined Benefit Obligation − Fair Value of Qualifying Plan Assets</w:t>
      </w:r>
      <w:r>
        <w:rPr>
          <w:rFonts w:ascii="Times New Roman" w:hAnsi="Times New Roman"/>
          <w:i/>
          <w:color w:val="606060"/>
          <w:sz w:val="21"/>
        </w:rPr>
        <w:br/>
        <w:t>Benchmark analitis; istilah/penyajian final mengikuti standar domestik yang berlaku.</w:t>
      </w:r>
    </w:p>
    <w:p>
      <w:r>
        <w:rPr>
          <w:rFonts w:ascii="Times New Roman" w:hAnsi="Times New Roman"/>
          <w:b/>
          <w:color w:val="1F4E79"/>
          <w:sz w:val="23"/>
        </w:rPr>
        <w:t>Adjusted Sovereign Net Worth</w:t>
        <w:br/>
      </w:r>
      <w:r>
        <w:rPr>
          <w:rFonts w:ascii="Times New Roman" w:hAnsi="Times New Roman"/>
          <w:b/>
          <w:sz w:val="23"/>
        </w:rPr>
        <w:t>Extended Assets − Extended Liabilities</w:t>
      </w:r>
      <w:r>
        <w:rPr>
          <w:rFonts w:ascii="Times New Roman" w:hAnsi="Times New Roman"/>
          <w:i/>
          <w:color w:val="606060"/>
          <w:sz w:val="21"/>
        </w:rPr>
        <w:br/>
        <w:t>Hanya dihitung bila perimeter, basis valuasi, eliminasi intrasektor, dan treatment uncertainty cukup konsisten.</w:t>
      </w:r>
    </w:p>
    <w:p>
      <w:r>
        <w:rPr>
          <w:rFonts w:ascii="Times New Roman" w:hAnsi="Times New Roman"/>
          <w:b/>
          <w:color w:val="1F4E79"/>
          <w:sz w:val="23"/>
        </w:rPr>
        <w:t>Analytical Bridge</w:t>
        <w:br/>
      </w:r>
      <w:r>
        <w:rPr>
          <w:rFonts w:ascii="Times New Roman" w:hAnsi="Times New Roman"/>
          <w:b/>
          <w:sz w:val="23"/>
        </w:rPr>
        <w:t>Opening Sovereign Net Worth + Fiscal Operating Result + Discoveries/Reappraisal − Depletion ± Revaluation ± Pension/Actuarial Movements ± Guarantees/Provisions + Net Asset Formation/Investment Return = Closing Sovereign Net Worth</w:t>
      </w:r>
      <w:r>
        <w:rPr>
          <w:rFonts w:ascii="Times New Roman" w:hAnsi="Times New Roman"/>
          <w:i/>
          <w:color w:val="606060"/>
          <w:sz w:val="21"/>
        </w:rPr>
        <w:br/>
        <w:t>Analytical bridge, bukan identity akuntansi SAP; eliminasi double counting wajib.</w:t>
      </w:r>
    </w:p>
    <w:p>
      <w:pPr>
        <w:pStyle w:val="Heading2"/>
      </w:pPr>
      <w:r>
        <w:t>Recognition Gate</w:t>
      </w:r>
    </w:p>
    <w:tbl>
      <w:tblPr>
        <w:tblStyle w:val="TableGrid"/>
        <w:tblW w:type="auto" w:w="0"/>
        <w:jc w:val="center"/>
        <w:tblLook w:firstColumn="1" w:firstRow="1" w:lastColumn="0" w:lastRow="0" w:noHBand="0" w:noVBand="1" w:val="04A0"/>
      </w:tblPr>
      <w:tblGrid>
        <w:gridCol w:w="3324"/>
        <w:gridCol w:w="3324"/>
        <w:gridCol w:w="3324"/>
      </w:tblGrid>
      <w:tr>
        <w:tc>
          <w:tcPr>
            <w:tcW w:type="dxa" w:w="5669"/>
            <w:shd w:fill="D9EAF7"/>
            <w:vAlign w:val="center"/>
          </w:tcPr>
          <w:p>
            <w:pPr>
              <w:jc w:val="center"/>
            </w:pPr>
            <w:r>
              <w:rPr>
                <w:rFonts w:ascii="Times New Roman" w:hAnsi="Times New Roman"/>
                <w:b/>
                <w:sz w:val="19"/>
              </w:rPr>
              <w:t>Pertanyaan</w:t>
            </w:r>
          </w:p>
        </w:tc>
        <w:tc>
          <w:tcPr>
            <w:tcW w:type="dxa" w:w="1134"/>
            <w:shd w:fill="D9EAF7"/>
            <w:vAlign w:val="center"/>
          </w:tcPr>
          <w:p>
            <w:pPr>
              <w:jc w:val="center"/>
            </w:pPr>
            <w:r>
              <w:rPr>
                <w:rFonts w:ascii="Times New Roman" w:hAnsi="Times New Roman"/>
                <w:b/>
                <w:sz w:val="19"/>
              </w:rPr>
              <w:t>Ya/Tidak</w:t>
            </w:r>
          </w:p>
        </w:tc>
        <w:tc>
          <w:tcPr>
            <w:tcW w:type="dxa" w:w="2835"/>
            <w:shd w:fill="D9EAF7"/>
            <w:vAlign w:val="center"/>
          </w:tcPr>
          <w:p>
            <w:pPr>
              <w:jc w:val="center"/>
            </w:pPr>
            <w:r>
              <w:rPr>
                <w:rFonts w:ascii="Times New Roman" w:hAnsi="Times New Roman"/>
                <w:b/>
                <w:sz w:val="19"/>
              </w:rPr>
              <w:t>Catatan</w:t>
            </w:r>
          </w:p>
        </w:tc>
      </w:tr>
      <w:tr>
        <w:tc>
          <w:tcPr>
            <w:tcW w:type="dxa" w:w="5669"/>
            <w:vAlign w:val="top"/>
          </w:tcPr>
          <w:p>
            <w:r>
              <w:rPr>
                <w:rFonts w:ascii="Times New Roman" w:hAnsi="Times New Roman"/>
                <w:sz w:val="19"/>
              </w:rPr>
              <w:t>Apakah terdapat resource/right yang berada dalam reporting perimeter?</w:t>
            </w:r>
          </w:p>
        </w:tc>
        <w:tc>
          <w:tcPr>
            <w:tcW w:type="dxa" w:w="1134"/>
            <w:vAlign w:val="top"/>
          </w:tcPr>
          <w:p>
            <w:r>
              <w:rPr>
                <w:rFonts w:ascii="Times New Roman" w:hAnsi="Times New Roman"/>
                <w:sz w:val="19"/>
              </w:rPr>
            </w:r>
          </w:p>
        </w:tc>
        <w:tc>
          <w:tcPr>
            <w:tcW w:type="dxa" w:w="2835"/>
            <w:vAlign w:val="top"/>
          </w:tcPr>
          <w:p>
            <w:r>
              <w:rPr>
                <w:rFonts w:ascii="Times New Roman" w:hAnsi="Times New Roman"/>
                <w:sz w:val="19"/>
              </w:rPr>
            </w:r>
          </w:p>
        </w:tc>
      </w:tr>
      <w:tr>
        <w:tc>
          <w:tcPr>
            <w:tcW w:type="dxa" w:w="5669"/>
            <w:vAlign w:val="top"/>
          </w:tcPr>
          <w:p>
            <w:r>
              <w:rPr>
                <w:rFonts w:ascii="Times New Roman" w:hAnsi="Times New Roman"/>
                <w:sz w:val="19"/>
              </w:rPr>
              <w:t>Apakah pemerintah mengendalikan manfaat ekonomi/service potential?</w:t>
            </w:r>
          </w:p>
        </w:tc>
        <w:tc>
          <w:tcPr>
            <w:tcW w:type="dxa" w:w="1134"/>
            <w:vAlign w:val="top"/>
          </w:tcPr>
          <w:p>
            <w:r>
              <w:rPr>
                <w:rFonts w:ascii="Times New Roman" w:hAnsi="Times New Roman"/>
                <w:sz w:val="19"/>
              </w:rPr>
            </w:r>
          </w:p>
        </w:tc>
        <w:tc>
          <w:tcPr>
            <w:tcW w:type="dxa" w:w="2835"/>
            <w:vAlign w:val="top"/>
          </w:tcPr>
          <w:p>
            <w:r>
              <w:rPr>
                <w:rFonts w:ascii="Times New Roman" w:hAnsi="Times New Roman"/>
                <w:sz w:val="19"/>
              </w:rPr>
            </w:r>
          </w:p>
        </w:tc>
      </w:tr>
      <w:tr>
        <w:tc>
          <w:tcPr>
            <w:tcW w:type="dxa" w:w="5669"/>
            <w:vAlign w:val="top"/>
          </w:tcPr>
          <w:p>
            <w:r>
              <w:rPr>
                <w:rFonts w:ascii="Times New Roman" w:hAnsi="Times New Roman"/>
                <w:sz w:val="19"/>
              </w:rPr>
              <w:t>Apakah hak/kewajiban dapat diukur secara cukup andal?</w:t>
            </w:r>
          </w:p>
        </w:tc>
        <w:tc>
          <w:tcPr>
            <w:tcW w:type="dxa" w:w="1134"/>
            <w:vAlign w:val="top"/>
          </w:tcPr>
          <w:p>
            <w:r>
              <w:rPr>
                <w:rFonts w:ascii="Times New Roman" w:hAnsi="Times New Roman"/>
                <w:sz w:val="19"/>
              </w:rPr>
            </w:r>
          </w:p>
        </w:tc>
        <w:tc>
          <w:tcPr>
            <w:tcW w:type="dxa" w:w="2835"/>
            <w:vAlign w:val="top"/>
          </w:tcPr>
          <w:p>
            <w:r>
              <w:rPr>
                <w:rFonts w:ascii="Times New Roman" w:hAnsi="Times New Roman"/>
                <w:sz w:val="19"/>
              </w:rPr>
            </w:r>
          </w:p>
        </w:tc>
      </w:tr>
      <w:tr>
        <w:tc>
          <w:tcPr>
            <w:tcW w:type="dxa" w:w="5669"/>
            <w:vAlign w:val="top"/>
          </w:tcPr>
          <w:p>
            <w:r>
              <w:rPr>
                <w:rFonts w:ascii="Times New Roman" w:hAnsi="Times New Roman"/>
                <w:sz w:val="19"/>
              </w:rPr>
              <w:t>Apakah basis valuasi konsisten dengan tujuan pengukuran?</w:t>
            </w:r>
          </w:p>
        </w:tc>
        <w:tc>
          <w:tcPr>
            <w:tcW w:type="dxa" w:w="1134"/>
            <w:vAlign w:val="top"/>
          </w:tcPr>
          <w:p>
            <w:r>
              <w:rPr>
                <w:rFonts w:ascii="Times New Roman" w:hAnsi="Times New Roman"/>
                <w:sz w:val="19"/>
              </w:rPr>
            </w:r>
          </w:p>
        </w:tc>
        <w:tc>
          <w:tcPr>
            <w:tcW w:type="dxa" w:w="2835"/>
            <w:vAlign w:val="top"/>
          </w:tcPr>
          <w:p>
            <w:r>
              <w:rPr>
                <w:rFonts w:ascii="Times New Roman" w:hAnsi="Times New Roman"/>
                <w:sz w:val="19"/>
              </w:rPr>
            </w:r>
          </w:p>
        </w:tc>
      </w:tr>
      <w:tr>
        <w:tc>
          <w:tcPr>
            <w:tcW w:type="dxa" w:w="5669"/>
            <w:vAlign w:val="top"/>
          </w:tcPr>
          <w:p>
            <w:r>
              <w:rPr>
                <w:rFonts w:ascii="Times New Roman" w:hAnsi="Times New Roman"/>
                <w:sz w:val="19"/>
              </w:rPr>
              <w:t>Apakah ketidakpastian lebih tepat diakui, diungkap, atau hanya dipetakan sebagai risk exposure?</w:t>
            </w:r>
          </w:p>
        </w:tc>
        <w:tc>
          <w:tcPr>
            <w:tcW w:type="dxa" w:w="1134"/>
            <w:vAlign w:val="top"/>
          </w:tcPr>
          <w:p>
            <w:r>
              <w:rPr>
                <w:rFonts w:ascii="Times New Roman" w:hAnsi="Times New Roman"/>
                <w:sz w:val="19"/>
              </w:rPr>
            </w:r>
          </w:p>
        </w:tc>
        <w:tc>
          <w:tcPr>
            <w:tcW w:type="dxa" w:w="2835"/>
            <w:vAlign w:val="top"/>
          </w:tcPr>
          <w:p>
            <w:r>
              <w:rPr>
                <w:rFonts w:ascii="Times New Roman" w:hAnsi="Times New Roman"/>
                <w:sz w:val="19"/>
              </w:rPr>
            </w:r>
          </w:p>
        </w:tc>
      </w:tr>
    </w:tbl>
    <w:p/>
    <w:tbl>
      <w:tblPr>
        <w:tblW w:type="auto" w:w="0"/>
        <w:jc w:val="center"/>
        <w:tblLook w:firstColumn="1" w:firstRow="1" w:lastColumn="0" w:lastRow="0" w:noHBand="0" w:noVBand="1" w:val="04A0"/>
      </w:tblPr>
      <w:tblGrid>
        <w:gridCol w:w="9972"/>
      </w:tblGrid>
      <w:tr>
        <w:tc>
          <w:tcPr>
            <w:tcW w:type="dxa" w:w="9972"/>
            <w:shd w:fill="EAF2F8"/>
          </w:tcPr>
          <w:p>
            <w:r>
              <w:rPr>
                <w:rFonts w:ascii="Times New Roman" w:hAnsi="Times New Roman"/>
                <w:b/>
                <w:color w:val="1F4E79"/>
                <w:sz w:val="23"/>
              </w:rPr>
              <w:t>Ladder</w:t>
              <w:br/>
            </w:r>
            <w:r>
              <w:rPr>
                <w:rFonts w:ascii="Times New Roman" w:hAnsi="Times New Roman"/>
                <w:color w:val="1F1F1F"/>
                <w:sz w:val="22"/>
              </w:rPr>
              <w:t>RECOGNIZED → QUANTIFIED BUT UNRECOGNIZED → QUALITATIVE / RISK. Tidak semua hal penting harus dipaksa masuk face of balance sheet.</w:t>
            </w:r>
          </w:p>
        </w:tc>
      </w:tr>
    </w:tbl>
    <w:p>
      <w:r>
        <w:br w:type="page"/>
      </w:r>
    </w:p>
    <w:p>
      <w:pPr>
        <w:pStyle w:val="Heading1"/>
      </w:pPr>
      <w:r>
        <w:t>06. BAB VI - INVESTASI DAN UTANG</w:t>
      </w:r>
    </w:p>
    <w:p>
      <w:r>
        <w:rPr>
          <w:rFonts w:ascii="Times New Roman" w:hAnsi="Times New Roman"/>
          <w:i/>
          <w:color w:val="606060"/>
          <w:sz w:val="21"/>
        </w:rPr>
        <w:t>Rujukan buku: hlm. 123-138  |  Workbook: 06_INVEST_DEBT</w:t>
      </w:r>
    </w:p>
    <w:p>
      <w:r>
        <w:rPr>
          <w:rFonts w:ascii="Times New Roman" w:hAnsi="Times New Roman"/>
          <w:b/>
          <w:color w:val="1F4E79"/>
          <w:sz w:val="23"/>
        </w:rPr>
        <w:t>Whole-life debt cost</w:t>
        <w:br/>
      </w:r>
      <w:r>
        <w:rPr>
          <w:rFonts w:ascii="Times New Roman" w:hAnsi="Times New Roman"/>
          <w:b/>
          <w:sz w:val="23"/>
        </w:rPr>
        <w:t>Biaya penerbitan/penarikan + bunga/kupon + biaya lindung nilai + dampak kurs/suku bunga + biaya refinancing + commitment/carrying cost + opportunity cost ruang fiskal</w:t>
      </w:r>
      <w:r>
        <w:rPr>
          <w:rFonts w:ascii="Times New Roman" w:hAnsi="Times New Roman"/>
          <w:i/>
          <w:color w:val="606060"/>
          <w:sz w:val="21"/>
        </w:rPr>
        <w:br/>
        <w:t>Kerangka analitis, bukan formula akuntansi.</w:t>
      </w:r>
    </w:p>
    <w:p>
      <w:pPr>
        <w:pStyle w:val="Heading2"/>
      </w:pPr>
      <w:r>
        <w:t>Debt Quality Test</w:t>
      </w:r>
    </w:p>
    <w:tbl>
      <w:tblPr>
        <w:tblStyle w:val="TableGrid"/>
        <w:tblW w:type="auto" w:w="0"/>
        <w:jc w:val="center"/>
        <w:tblLook w:firstColumn="1" w:firstRow="1" w:lastColumn="0" w:lastRow="0" w:noHBand="0" w:noVBand="1" w:val="04A0"/>
      </w:tblPr>
      <w:tblGrid>
        <w:gridCol w:w="4986"/>
        <w:gridCol w:w="4986"/>
      </w:tblGrid>
      <w:tr>
        <w:tc>
          <w:tcPr>
            <w:tcW w:type="dxa" w:w="4535"/>
            <w:shd w:fill="D9EAF7"/>
            <w:vAlign w:val="center"/>
          </w:tcPr>
          <w:p>
            <w:pPr>
              <w:jc w:val="center"/>
            </w:pPr>
            <w:r>
              <w:rPr>
                <w:rFonts w:ascii="Times New Roman" w:hAnsi="Times New Roman"/>
                <w:b/>
                <w:sz w:val="19"/>
              </w:rPr>
              <w:t>Pertanyaan</w:t>
            </w:r>
          </w:p>
        </w:tc>
        <w:tc>
          <w:tcPr>
            <w:tcW w:type="dxa" w:w="5102"/>
            <w:shd w:fill="D9EAF7"/>
            <w:vAlign w:val="center"/>
          </w:tcPr>
          <w:p>
            <w:pPr>
              <w:jc w:val="center"/>
            </w:pPr>
            <w:r>
              <w:rPr>
                <w:rFonts w:ascii="Times New Roman" w:hAnsi="Times New Roman"/>
                <w:b/>
                <w:sz w:val="19"/>
              </w:rPr>
              <w:t>Evidence</w:t>
            </w:r>
          </w:p>
        </w:tc>
      </w:tr>
      <w:tr>
        <w:tc>
          <w:tcPr>
            <w:tcW w:type="dxa" w:w="4535"/>
            <w:vAlign w:val="top"/>
          </w:tcPr>
          <w:p>
            <w:r>
              <w:rPr>
                <w:rFonts w:ascii="Times New Roman" w:hAnsi="Times New Roman"/>
                <w:sz w:val="19"/>
              </w:rPr>
              <w:t>Apa yang dibiayai?</w:t>
            </w:r>
          </w:p>
        </w:tc>
        <w:tc>
          <w:tcPr>
            <w:tcW w:type="dxa" w:w="5102"/>
            <w:vAlign w:val="top"/>
          </w:tcPr>
          <w:p>
            <w:r>
              <w:rPr>
                <w:rFonts w:ascii="Times New Roman" w:hAnsi="Times New Roman"/>
                <w:sz w:val="19"/>
              </w:rPr>
              <w:t>Aset/kapasitas/outcome yang jelas</w:t>
            </w:r>
          </w:p>
        </w:tc>
      </w:tr>
      <w:tr>
        <w:tc>
          <w:tcPr>
            <w:tcW w:type="dxa" w:w="4535"/>
            <w:vAlign w:val="top"/>
          </w:tcPr>
          <w:p>
            <w:r>
              <w:rPr>
                <w:rFonts w:ascii="Times New Roman" w:hAnsi="Times New Roman"/>
                <w:sz w:val="19"/>
              </w:rPr>
              <w:t>Berapa lama manfaatnya bertahan?</w:t>
            </w:r>
          </w:p>
        </w:tc>
        <w:tc>
          <w:tcPr>
            <w:tcW w:type="dxa" w:w="5102"/>
            <w:vAlign w:val="top"/>
          </w:tcPr>
          <w:p>
            <w:r>
              <w:rPr>
                <w:rFonts w:ascii="Times New Roman" w:hAnsi="Times New Roman"/>
                <w:sz w:val="19"/>
              </w:rPr>
              <w:t>Economic/service life</w:t>
            </w:r>
          </w:p>
        </w:tc>
      </w:tr>
      <w:tr>
        <w:tc>
          <w:tcPr>
            <w:tcW w:type="dxa" w:w="4535"/>
            <w:vAlign w:val="top"/>
          </w:tcPr>
          <w:p>
            <w:r>
              <w:rPr>
                <w:rFonts w:ascii="Times New Roman" w:hAnsi="Times New Roman"/>
                <w:sz w:val="19"/>
              </w:rPr>
              <w:t>Dari mana pembayaran pokok dan bunga berasal?</w:t>
            </w:r>
          </w:p>
        </w:tc>
        <w:tc>
          <w:tcPr>
            <w:tcW w:type="dxa" w:w="5102"/>
            <w:vAlign w:val="top"/>
          </w:tcPr>
          <w:p>
            <w:r>
              <w:rPr>
                <w:rFonts w:ascii="Times New Roman" w:hAnsi="Times New Roman"/>
                <w:sz w:val="19"/>
              </w:rPr>
              <w:t>CFADS/DSCR atau fiscal affordability</w:t>
            </w:r>
          </w:p>
        </w:tc>
      </w:tr>
      <w:tr>
        <w:tc>
          <w:tcPr>
            <w:tcW w:type="dxa" w:w="4535"/>
            <w:vAlign w:val="top"/>
          </w:tcPr>
          <w:p>
            <w:r>
              <w:rPr>
                <w:rFonts w:ascii="Times New Roman" w:hAnsi="Times New Roman"/>
                <w:sz w:val="19"/>
              </w:rPr>
              <w:t>Seberapa sensitif terhadap kurs, bunga, pertumbuhan, atau pendapatan?</w:t>
            </w:r>
          </w:p>
        </w:tc>
        <w:tc>
          <w:tcPr>
            <w:tcW w:type="dxa" w:w="5102"/>
            <w:vAlign w:val="top"/>
          </w:tcPr>
          <w:p>
            <w:r>
              <w:rPr>
                <w:rFonts w:ascii="Times New Roman" w:hAnsi="Times New Roman"/>
                <w:sz w:val="19"/>
              </w:rPr>
              <w:t>Stress test</w:t>
            </w:r>
          </w:p>
        </w:tc>
      </w:tr>
      <w:tr>
        <w:tc>
          <w:tcPr>
            <w:tcW w:type="dxa" w:w="4535"/>
            <w:vAlign w:val="top"/>
          </w:tcPr>
          <w:p>
            <w:r>
              <w:rPr>
                <w:rFonts w:ascii="Times New Roman" w:hAnsi="Times New Roman"/>
                <w:sz w:val="19"/>
              </w:rPr>
              <w:t>Risiko apa yang dialihkan ke masa depan?</w:t>
            </w:r>
          </w:p>
        </w:tc>
        <w:tc>
          <w:tcPr>
            <w:tcW w:type="dxa" w:w="5102"/>
            <w:vAlign w:val="top"/>
          </w:tcPr>
          <w:p>
            <w:r>
              <w:rPr>
                <w:rFonts w:ascii="Times New Roman" w:hAnsi="Times New Roman"/>
                <w:sz w:val="19"/>
              </w:rPr>
              <w:t>Maturity/refinancing/contingent exposure</w:t>
            </w:r>
          </w:p>
        </w:tc>
      </w:tr>
      <w:tr>
        <w:tc>
          <w:tcPr>
            <w:tcW w:type="dxa" w:w="4535"/>
            <w:vAlign w:val="top"/>
          </w:tcPr>
          <w:p>
            <w:r>
              <w:rPr>
                <w:rFonts w:ascii="Times New Roman" w:hAnsi="Times New Roman"/>
                <w:sz w:val="19"/>
              </w:rPr>
              <w:t>Ketika utang lunas, apa yang masih tersisa?</w:t>
            </w:r>
          </w:p>
        </w:tc>
        <w:tc>
          <w:tcPr>
            <w:tcW w:type="dxa" w:w="5102"/>
            <w:vAlign w:val="top"/>
          </w:tcPr>
          <w:p>
            <w:r>
              <w:rPr>
                <w:rFonts w:ascii="Times New Roman" w:hAnsi="Times New Roman"/>
                <w:sz w:val="19"/>
              </w:rPr>
              <w:t>Durable capacity / public value</w:t>
            </w:r>
          </w:p>
        </w:tc>
      </w:tr>
    </w:tbl>
    <w:p/>
    <w:p>
      <w:pPr>
        <w:pStyle w:val="Heading2"/>
      </w:pPr>
      <w:r>
        <w:t>Stage-Gate dan Maximum Plausible Fiscal Exposure</w:t>
      </w:r>
    </w:p>
    <w:p>
      <w:r>
        <w:rPr>
          <w:rFonts w:ascii="Times New Roman" w:hAnsi="Times New Roman"/>
          <w:b w:val="0"/>
          <w:i w:val="0"/>
          <w:color w:val="1F1F1F"/>
        </w:rPr>
        <w:t>Stress test harus menguji kombinasi tekanan yang realistis: pendapatan lebih rendah, biaya konstruksi naik, operasi terlambat, kurs melemah, bunga naik, atau refinancing lebih mahal.</w:t>
      </w:r>
    </w:p>
    <w:tbl>
      <w:tblPr>
        <w:tblW w:type="auto" w:w="0"/>
        <w:jc w:val="center"/>
        <w:tblLook w:firstColumn="1" w:firstRow="1" w:lastColumn="0" w:lastRow="0" w:noHBand="0" w:noVBand="1" w:val="04A0"/>
      </w:tblPr>
      <w:tblGrid>
        <w:gridCol w:w="9972"/>
      </w:tblGrid>
      <w:tr>
        <w:tc>
          <w:tcPr>
            <w:tcW w:type="dxa" w:w="9972"/>
            <w:shd w:fill="EAF2F8"/>
          </w:tcPr>
          <w:p>
            <w:r>
              <w:rPr>
                <w:rFonts w:ascii="Times New Roman" w:hAnsi="Times New Roman"/>
                <w:b/>
                <w:color w:val="1F4E79"/>
                <w:sz w:val="23"/>
              </w:rPr>
              <w:t>Keputusan setelah stress test</w:t>
              <w:br/>
            </w:r>
            <w:r>
              <w:rPr>
                <w:rFonts w:ascii="Times New Roman" w:hAnsi="Times New Roman"/>
                <w:color w:val="1F1F1F"/>
                <w:sz w:val="22"/>
              </w:rPr>
              <w:t>REDESIGN → RESTRUCTURE → STOP → ACTIVATE GUARANTEE, sesuai trigger yang ditetapkan.</w:t>
            </w:r>
          </w:p>
        </w:tc>
      </w:tr>
    </w:tbl>
    <w:p>
      <w:r>
        <w:rPr>
          <w:rFonts w:ascii="Times New Roman" w:hAnsi="Times New Roman"/>
          <w:b/>
          <w:color w:val="1F4E79"/>
          <w:sz w:val="23"/>
        </w:rPr>
        <w:t>Value Gates</w:t>
        <w:br/>
      </w:r>
      <w:r>
        <w:rPr>
          <w:rFonts w:ascii="Times New Roman" w:hAnsi="Times New Roman"/>
          <w:b/>
          <w:sz w:val="23"/>
        </w:rPr>
        <w:t>Input → Commitment → Asset/Capacity → Utilization → Outcome → Durable Value</w:t>
      </w:r>
    </w:p>
    <w:tbl>
      <w:tblPr>
        <w:tblW w:type="auto" w:w="0"/>
        <w:jc w:val="center"/>
        <w:tblLook w:firstColumn="1" w:firstRow="1" w:lastColumn="0" w:lastRow="0" w:noHBand="0" w:noVBand="1" w:val="04A0"/>
      </w:tblPr>
      <w:tblGrid>
        <w:gridCol w:w="9972"/>
      </w:tblGrid>
      <w:tr>
        <w:tc>
          <w:tcPr>
            <w:tcW w:type="dxa" w:w="9972"/>
            <w:shd w:fill="EAF2F8"/>
          </w:tcPr>
          <w:p>
            <w:r>
              <w:rPr>
                <w:rFonts w:ascii="Times New Roman" w:hAnsi="Times New Roman"/>
                <w:b/>
                <w:color w:val="1F4E79"/>
                <w:sz w:val="23"/>
              </w:rPr>
              <w:t>Prinsip pengunci</w:t>
              <w:br/>
            </w:r>
            <w:r>
              <w:rPr>
                <w:rFonts w:ascii="Times New Roman" w:hAnsi="Times New Roman"/>
                <w:color w:val="1F1F1F"/>
                <w:sz w:val="22"/>
              </w:rPr>
              <w:t>No New Material Debt Without a Net-Worth and Public-Value Test.</w:t>
            </w:r>
          </w:p>
        </w:tc>
      </w:tr>
    </w:tbl>
    <w:p>
      <w:r>
        <w:br w:type="page"/>
      </w:r>
    </w:p>
    <w:p>
      <w:pPr>
        <w:pStyle w:val="Heading1"/>
      </w:pPr>
      <w:r>
        <w:t>07. BAB VII - UANG NEGARA HARUS BEKERJA</w:t>
      </w:r>
    </w:p>
    <w:p>
      <w:r>
        <w:rPr>
          <w:rFonts w:ascii="Times New Roman" w:hAnsi="Times New Roman"/>
          <w:i/>
          <w:color w:val="606060"/>
          <w:sz w:val="21"/>
        </w:rPr>
        <w:t>Rujukan buku: hlm. 139-151  |  Workbook: 07_PUBLIC_CAPITAL</w:t>
      </w:r>
    </w:p>
    <w:p>
      <w:r>
        <w:rPr>
          <w:rFonts w:ascii="Times New Roman" w:hAnsi="Times New Roman"/>
          <w:b/>
          <w:color w:val="1F4E79"/>
          <w:sz w:val="23"/>
        </w:rPr>
        <w:t>Rantai public capital</w:t>
        <w:br/>
      </w:r>
      <w:r>
        <w:rPr>
          <w:rFonts w:ascii="Times New Roman" w:hAnsi="Times New Roman"/>
          <w:b/>
          <w:sz w:val="23"/>
        </w:rPr>
        <w:t>APBN/APBD → Instrumen → Neraca/Kapasitas Penerima → Leverage → Output → Outcome → Return/Recycling → Public Value</w:t>
      </w:r>
    </w:p>
    <w:p>
      <w:pPr>
        <w:pStyle w:val="Heading2"/>
      </w:pPr>
      <w:r>
        <w:t>Lima ukuran utama</w:t>
      </w:r>
    </w:p>
    <w:tbl>
      <w:tblPr>
        <w:tblStyle w:val="TableGrid"/>
        <w:tblW w:type="auto" w:w="0"/>
        <w:jc w:val="center"/>
        <w:tblLook w:firstColumn="1" w:firstRow="1" w:lastColumn="0" w:lastRow="0" w:noHBand="0" w:noVBand="1" w:val="04A0"/>
      </w:tblPr>
      <w:tblGrid>
        <w:gridCol w:w="4986"/>
        <w:gridCol w:w="4986"/>
      </w:tblGrid>
      <w:tr>
        <w:tc>
          <w:tcPr>
            <w:tcW w:type="dxa" w:w="3402"/>
            <w:shd w:fill="D9EAF7"/>
            <w:vAlign w:val="center"/>
          </w:tcPr>
          <w:p>
            <w:pPr>
              <w:jc w:val="center"/>
            </w:pPr>
            <w:r>
              <w:rPr>
                <w:rFonts w:ascii="Times New Roman" w:hAnsi="Times New Roman"/>
                <w:b/>
                <w:sz w:val="19"/>
              </w:rPr>
              <w:t>Ukuran</w:t>
            </w:r>
          </w:p>
        </w:tc>
        <w:tc>
          <w:tcPr>
            <w:tcW w:type="dxa" w:w="6236"/>
            <w:shd w:fill="D9EAF7"/>
            <w:vAlign w:val="center"/>
          </w:tcPr>
          <w:p>
            <w:pPr>
              <w:jc w:val="center"/>
            </w:pPr>
            <w:r>
              <w:rPr>
                <w:rFonts w:ascii="Times New Roman" w:hAnsi="Times New Roman"/>
                <w:b/>
                <w:sz w:val="19"/>
              </w:rPr>
              <w:t>Pertanyaan</w:t>
            </w:r>
          </w:p>
        </w:tc>
      </w:tr>
      <w:tr>
        <w:tc>
          <w:tcPr>
            <w:tcW w:type="dxa" w:w="3402"/>
            <w:vAlign w:val="top"/>
          </w:tcPr>
          <w:p>
            <w:r>
              <w:rPr>
                <w:rFonts w:ascii="Times New Roman" w:hAnsi="Times New Roman"/>
                <w:sz w:val="19"/>
              </w:rPr>
              <w:t>Capital Preservation</w:t>
            </w:r>
          </w:p>
        </w:tc>
        <w:tc>
          <w:tcPr>
            <w:tcW w:type="dxa" w:w="6236"/>
            <w:vAlign w:val="top"/>
          </w:tcPr>
          <w:p>
            <w:r>
              <w:rPr>
                <w:rFonts w:ascii="Times New Roman" w:hAnsi="Times New Roman"/>
                <w:sz w:val="19"/>
              </w:rPr>
              <w:t>Berapa modal negara yang masih terpelihara?</w:t>
            </w:r>
          </w:p>
        </w:tc>
      </w:tr>
      <w:tr>
        <w:tc>
          <w:tcPr>
            <w:tcW w:type="dxa" w:w="3402"/>
            <w:vAlign w:val="top"/>
          </w:tcPr>
          <w:p>
            <w:r>
              <w:rPr>
                <w:rFonts w:ascii="Times New Roman" w:hAnsi="Times New Roman"/>
                <w:sz w:val="19"/>
              </w:rPr>
              <w:t>Public Capital Multiplier</w:t>
            </w:r>
          </w:p>
        </w:tc>
        <w:tc>
          <w:tcPr>
            <w:tcW w:type="dxa" w:w="6236"/>
            <w:vAlign w:val="top"/>
          </w:tcPr>
          <w:p>
            <w:r>
              <w:rPr>
                <w:rFonts w:ascii="Times New Roman" w:hAnsi="Times New Roman"/>
                <w:sz w:val="19"/>
              </w:rPr>
              <w:t>Berapa kapasitas baru diciptakan setiap Rp1 modal publik?</w:t>
            </w:r>
          </w:p>
        </w:tc>
      </w:tr>
      <w:tr>
        <w:tc>
          <w:tcPr>
            <w:tcW w:type="dxa" w:w="3402"/>
            <w:vAlign w:val="top"/>
          </w:tcPr>
          <w:p>
            <w:r>
              <w:rPr>
                <w:rFonts w:ascii="Times New Roman" w:hAnsi="Times New Roman"/>
                <w:sz w:val="19"/>
              </w:rPr>
              <w:t>Crowding-in</w:t>
            </w:r>
          </w:p>
        </w:tc>
        <w:tc>
          <w:tcPr>
            <w:tcW w:type="dxa" w:w="6236"/>
            <w:vAlign w:val="top"/>
          </w:tcPr>
          <w:p>
            <w:r>
              <w:rPr>
                <w:rFonts w:ascii="Times New Roman" w:hAnsi="Times New Roman"/>
                <w:sz w:val="19"/>
              </w:rPr>
              <w:t>Apakah modal publik memobilisasi modal/sumber daya lain secara additional?</w:t>
            </w:r>
          </w:p>
        </w:tc>
      </w:tr>
      <w:tr>
        <w:tc>
          <w:tcPr>
            <w:tcW w:type="dxa" w:w="3402"/>
            <w:vAlign w:val="top"/>
          </w:tcPr>
          <w:p>
            <w:r>
              <w:rPr>
                <w:rFonts w:ascii="Times New Roman" w:hAnsi="Times New Roman"/>
                <w:sz w:val="19"/>
              </w:rPr>
              <w:t>Value Conversion</w:t>
            </w:r>
          </w:p>
        </w:tc>
        <w:tc>
          <w:tcPr>
            <w:tcW w:type="dxa" w:w="6236"/>
            <w:vAlign w:val="top"/>
          </w:tcPr>
          <w:p>
            <w:r>
              <w:rPr>
                <w:rFonts w:ascii="Times New Roman" w:hAnsi="Times New Roman"/>
                <w:sz w:val="19"/>
              </w:rPr>
              <w:t>Apakah modal berubah menjadi output, outcome, dan nilai?</w:t>
            </w:r>
          </w:p>
        </w:tc>
      </w:tr>
      <w:tr>
        <w:tc>
          <w:tcPr>
            <w:tcW w:type="dxa" w:w="3402"/>
            <w:vAlign w:val="top"/>
          </w:tcPr>
          <w:p>
            <w:r>
              <w:rPr>
                <w:rFonts w:ascii="Times New Roman" w:hAnsi="Times New Roman"/>
                <w:sz w:val="19"/>
              </w:rPr>
              <w:t>Recycling</w:t>
            </w:r>
          </w:p>
        </w:tc>
        <w:tc>
          <w:tcPr>
            <w:tcW w:type="dxa" w:w="6236"/>
            <w:vAlign w:val="top"/>
          </w:tcPr>
          <w:p>
            <w:r>
              <w:rPr>
                <w:rFonts w:ascii="Times New Roman" w:hAnsi="Times New Roman"/>
                <w:sz w:val="19"/>
              </w:rPr>
              <w:t>Berapa nilai yang kembali ke pool dan dapat digunakan lagi?</w:t>
            </w:r>
          </w:p>
        </w:tc>
      </w:tr>
    </w:tbl>
    <w:p/>
    <w:p>
      <w:pPr>
        <w:pStyle w:val="Heading2"/>
      </w:pPr>
      <w:r>
        <w:t>Ilustrasi Lembaga Pembiayaan A - data tetap ilustratif</w:t>
      </w:r>
    </w:p>
    <w:tbl>
      <w:tblPr>
        <w:tblStyle w:val="TableGrid"/>
        <w:tblW w:type="auto" w:w="0"/>
        <w:jc w:val="center"/>
        <w:tblLook w:firstColumn="1" w:firstRow="1" w:lastColumn="0" w:lastRow="0" w:noHBand="0" w:noVBand="1" w:val="04A0"/>
      </w:tblPr>
      <w:tblGrid>
        <w:gridCol w:w="4986"/>
        <w:gridCol w:w="4986"/>
      </w:tblGrid>
      <w:tr>
        <w:tc>
          <w:tcPr>
            <w:tcW w:type="dxa" w:w="5102"/>
            <w:shd w:fill="D9EAF7"/>
            <w:vAlign w:val="center"/>
          </w:tcPr>
          <w:p>
            <w:pPr>
              <w:jc w:val="center"/>
            </w:pPr>
            <w:r>
              <w:rPr>
                <w:rFonts w:ascii="Times New Roman" w:hAnsi="Times New Roman"/>
                <w:b/>
                <w:sz w:val="19"/>
              </w:rPr>
              <w:t>Indikator ilustratif</w:t>
            </w:r>
          </w:p>
        </w:tc>
        <w:tc>
          <w:tcPr>
            <w:tcW w:type="dxa" w:w="3969"/>
            <w:shd w:fill="D9EAF7"/>
            <w:vAlign w:val="center"/>
          </w:tcPr>
          <w:p>
            <w:pPr>
              <w:jc w:val="center"/>
            </w:pPr>
            <w:r>
              <w:rPr>
                <w:rFonts w:ascii="Times New Roman" w:hAnsi="Times New Roman"/>
                <w:b/>
                <w:sz w:val="19"/>
              </w:rPr>
              <w:t>Nilai</w:t>
            </w:r>
          </w:p>
        </w:tc>
      </w:tr>
      <w:tr>
        <w:tc>
          <w:tcPr>
            <w:tcW w:type="dxa" w:w="5102"/>
            <w:vAlign w:val="top"/>
          </w:tcPr>
          <w:p>
            <w:r>
              <w:rPr>
                <w:rFonts w:ascii="Times New Roman" w:hAnsi="Times New Roman"/>
                <w:sz w:val="19"/>
              </w:rPr>
              <w:t>Kontribusi modal pemerintah kumulatif</w:t>
            </w:r>
          </w:p>
        </w:tc>
        <w:tc>
          <w:tcPr>
            <w:tcW w:type="dxa" w:w="3969"/>
            <w:vAlign w:val="top"/>
          </w:tcPr>
          <w:p>
            <w:r>
              <w:rPr>
                <w:rFonts w:ascii="Times New Roman" w:hAnsi="Times New Roman"/>
                <w:sz w:val="19"/>
              </w:rPr>
              <w:t>Rp38,48 triliun</w:t>
            </w:r>
          </w:p>
        </w:tc>
      </w:tr>
      <w:tr>
        <w:tc>
          <w:tcPr>
            <w:tcW w:type="dxa" w:w="5102"/>
            <w:vAlign w:val="top"/>
          </w:tcPr>
          <w:p>
            <w:r>
              <w:rPr>
                <w:rFonts w:ascii="Times New Roman" w:hAnsi="Times New Roman"/>
                <w:sz w:val="19"/>
              </w:rPr>
              <w:t>Total ekuitas</w:t>
            </w:r>
          </w:p>
        </w:tc>
        <w:tc>
          <w:tcPr>
            <w:tcW w:type="dxa" w:w="3969"/>
            <w:vAlign w:val="top"/>
          </w:tcPr>
          <w:p>
            <w:r>
              <w:rPr>
                <w:rFonts w:ascii="Times New Roman" w:hAnsi="Times New Roman"/>
                <w:sz w:val="19"/>
              </w:rPr>
              <w:t>Rp12,78 triliun</w:t>
            </w:r>
          </w:p>
        </w:tc>
      </w:tr>
      <w:tr>
        <w:tc>
          <w:tcPr>
            <w:tcW w:type="dxa" w:w="5102"/>
            <w:vAlign w:val="top"/>
          </w:tcPr>
          <w:p>
            <w:r>
              <w:rPr>
                <w:rFonts w:ascii="Times New Roman" w:hAnsi="Times New Roman"/>
                <w:sz w:val="19"/>
              </w:rPr>
              <w:t>Tambahan modal</w:t>
            </w:r>
          </w:p>
        </w:tc>
        <w:tc>
          <w:tcPr>
            <w:tcW w:type="dxa" w:w="3969"/>
            <w:vAlign w:val="top"/>
          </w:tcPr>
          <w:p>
            <w:r>
              <w:rPr>
                <w:rFonts w:ascii="Times New Roman" w:hAnsi="Times New Roman"/>
                <w:sz w:val="19"/>
              </w:rPr>
              <w:t>Rp4,50 triliun</w:t>
            </w:r>
          </w:p>
        </w:tc>
      </w:tr>
      <w:tr>
        <w:tc>
          <w:tcPr>
            <w:tcW w:type="dxa" w:w="5102"/>
            <w:vAlign w:val="top"/>
          </w:tcPr>
          <w:p>
            <w:r>
              <w:rPr>
                <w:rFonts w:ascii="Times New Roman" w:hAnsi="Times New Roman"/>
                <w:sz w:val="19"/>
              </w:rPr>
              <w:t>Aktivitas penugasan - periode awal</w:t>
            </w:r>
          </w:p>
        </w:tc>
        <w:tc>
          <w:tcPr>
            <w:tcW w:type="dxa" w:w="3969"/>
            <w:vAlign w:val="top"/>
          </w:tcPr>
          <w:p>
            <w:r>
              <w:rPr>
                <w:rFonts w:ascii="Times New Roman" w:hAnsi="Times New Roman"/>
                <w:sz w:val="19"/>
              </w:rPr>
              <w:t>Rp6,57 triliun</w:t>
            </w:r>
          </w:p>
        </w:tc>
      </w:tr>
      <w:tr>
        <w:tc>
          <w:tcPr>
            <w:tcW w:type="dxa" w:w="5102"/>
            <w:vAlign w:val="top"/>
          </w:tcPr>
          <w:p>
            <w:r>
              <w:rPr>
                <w:rFonts w:ascii="Times New Roman" w:hAnsi="Times New Roman"/>
                <w:sz w:val="19"/>
              </w:rPr>
              <w:t>Aktivitas penugasan - periode berikut</w:t>
            </w:r>
          </w:p>
        </w:tc>
        <w:tc>
          <w:tcPr>
            <w:tcW w:type="dxa" w:w="3969"/>
            <w:vAlign w:val="top"/>
          </w:tcPr>
          <w:p>
            <w:r>
              <w:rPr>
                <w:rFonts w:ascii="Times New Roman" w:hAnsi="Times New Roman"/>
                <w:sz w:val="19"/>
              </w:rPr>
              <w:t>Rp12,15 triliun</w:t>
            </w:r>
          </w:p>
        </w:tc>
      </w:tr>
      <w:tr>
        <w:tc>
          <w:tcPr>
            <w:tcW w:type="dxa" w:w="5102"/>
            <w:vAlign w:val="top"/>
          </w:tcPr>
          <w:p>
            <w:r>
              <w:rPr>
                <w:rFonts w:ascii="Times New Roman" w:hAnsi="Times New Roman"/>
                <w:sz w:val="19"/>
              </w:rPr>
              <w:t>Total pembiayaan</w:t>
            </w:r>
          </w:p>
        </w:tc>
        <w:tc>
          <w:tcPr>
            <w:tcW w:type="dxa" w:w="3969"/>
            <w:vAlign w:val="top"/>
          </w:tcPr>
          <w:p>
            <w:r>
              <w:rPr>
                <w:rFonts w:ascii="Times New Roman" w:hAnsi="Times New Roman"/>
                <w:sz w:val="19"/>
              </w:rPr>
              <w:t>Rp51,48 triliun</w:t>
            </w:r>
          </w:p>
        </w:tc>
      </w:tr>
    </w:tbl>
    <w:p/>
    <w:tbl>
      <w:tblPr>
        <w:tblW w:type="auto" w:w="0"/>
        <w:jc w:val="center"/>
        <w:tblLook w:firstColumn="1" w:firstRow="1" w:lastColumn="0" w:lastRow="0" w:noHBand="0" w:noVBand="1" w:val="04A0"/>
      </w:tblPr>
      <w:tblGrid>
        <w:gridCol w:w="9972"/>
      </w:tblGrid>
      <w:tr>
        <w:tc>
          <w:tcPr>
            <w:tcW w:type="dxa" w:w="9972"/>
            <w:shd w:fill="EAF2F8"/>
          </w:tcPr>
          <w:p>
            <w:r>
              <w:rPr>
                <w:rFonts w:ascii="Times New Roman" w:hAnsi="Times New Roman"/>
                <w:b/>
                <w:color w:val="1F4E79"/>
                <w:sz w:val="23"/>
              </w:rPr>
              <w:t>Anonimisasi</w:t>
              <w:br/>
            </w:r>
            <w:r>
              <w:rPr>
                <w:rFonts w:ascii="Times New Roman" w:hAnsi="Times New Roman"/>
                <w:color w:val="1F1F1F"/>
                <w:sz w:val="22"/>
              </w:rPr>
              <w:t>Angka dan identitas ini adalah ilustrasi sebagaimana buku final. Digital Companion tidak memuat angka asli atau petunjuk yang dapat mengembalikan ilustrasi ke satu institusi tertentu.</w:t>
            </w:r>
          </w:p>
        </w:tc>
      </w:tr>
    </w:tbl>
    <w:p>
      <w:pPr>
        <w:pStyle w:val="Heading2"/>
      </w:pPr>
      <w:r>
        <w:t>Portfolio books</w:t>
      </w:r>
    </w:p>
    <w:p>
      <w:r>
        <w:rPr>
          <w:rFonts w:ascii="Times New Roman" w:hAnsi="Times New Roman"/>
          <w:b/>
          <w:i w:val="0"/>
          <w:color w:val="1F1F1F"/>
        </w:rPr>
        <w:t>Pisahkan: legacy book | new commercial book | special-assignment book | recovery book.</w:t>
      </w:r>
    </w:p>
    <w:p>
      <w:r>
        <w:br w:type="page"/>
      </w:r>
    </w:p>
    <w:p>
      <w:pPr>
        <w:pStyle w:val="Heading1"/>
      </w:pPr>
      <w:r>
        <w:t>08. BAB VIII - KETIKA PENJUALAN DAN PINJAMAN MENJADI MAHKOTA</w:t>
      </w:r>
    </w:p>
    <w:p>
      <w:r>
        <w:rPr>
          <w:rFonts w:ascii="Times New Roman" w:hAnsi="Times New Roman"/>
          <w:i/>
          <w:color w:val="606060"/>
          <w:sz w:val="21"/>
        </w:rPr>
        <w:t>Rujukan buku: hlm. 152-176  |  Workbook: 08_CONVERSION</w:t>
      </w:r>
    </w:p>
    <w:p>
      <w:r>
        <w:rPr>
          <w:rFonts w:ascii="Times New Roman" w:hAnsi="Times New Roman"/>
          <w:b/>
          <w:color w:val="1F4E79"/>
          <w:sz w:val="23"/>
        </w:rPr>
        <w:t>Rantai conversion</w:t>
        <w:br/>
      </w:r>
      <w:r>
        <w:rPr>
          <w:rFonts w:ascii="Times New Roman" w:hAnsi="Times New Roman"/>
          <w:b/>
          <w:sz w:val="23"/>
        </w:rPr>
        <w:t>Transaction → Conversion → Realization → Value</w:t>
      </w:r>
    </w:p>
    <w:p>
      <w:r>
        <w:rPr>
          <w:rFonts w:ascii="Times New Roman" w:hAnsi="Times New Roman"/>
          <w:b/>
          <w:color w:val="1F4E79"/>
          <w:sz w:val="23"/>
        </w:rPr>
        <w:t>Cash Conversion Cycle</w:t>
        <w:br/>
      </w:r>
      <w:r>
        <w:rPr>
          <w:rFonts w:ascii="Times New Roman" w:hAnsi="Times New Roman"/>
          <w:b/>
          <w:sz w:val="23"/>
        </w:rPr>
        <w:t>CCC = DIO + DSO − DPO</w:t>
      </w:r>
    </w:p>
    <w:p>
      <w:r>
        <w:rPr>
          <w:rFonts w:ascii="Times New Roman" w:hAnsi="Times New Roman"/>
          <w:b/>
          <w:color w:val="1F4E79"/>
          <w:sz w:val="23"/>
        </w:rPr>
        <w:t>Dana bergulir</w:t>
        <w:br/>
      </w:r>
      <w:r>
        <w:rPr>
          <w:rFonts w:ascii="Times New Roman" w:hAnsi="Times New Roman"/>
          <w:b/>
          <w:sz w:val="23"/>
        </w:rPr>
        <w:t>Cash → Financing → Repayment → Re-lending</w:t>
      </w:r>
    </w:p>
    <w:p>
      <w:pPr>
        <w:pStyle w:val="Heading2"/>
      </w:pPr>
      <w:r>
        <w:t>Ilustrasi dana bergulir - data yang dianonimkan</w:t>
      </w:r>
    </w:p>
    <w:tbl>
      <w:tblPr>
        <w:tblStyle w:val="TableGrid"/>
        <w:tblW w:type="auto" w:w="0"/>
        <w:jc w:val="center"/>
        <w:tblLook w:firstColumn="1" w:firstRow="1" w:lastColumn="0" w:lastRow="0" w:noHBand="0" w:noVBand="1" w:val="04A0"/>
      </w:tblPr>
      <w:tblGrid>
        <w:gridCol w:w="4986"/>
        <w:gridCol w:w="4986"/>
      </w:tblGrid>
      <w:tr>
        <w:tc>
          <w:tcPr>
            <w:tcW w:type="dxa" w:w="5102"/>
            <w:shd w:fill="D9EAF7"/>
            <w:vAlign w:val="center"/>
          </w:tcPr>
          <w:p>
            <w:pPr>
              <w:jc w:val="center"/>
            </w:pPr>
            <w:r>
              <w:rPr>
                <w:rFonts w:ascii="Times New Roman" w:hAnsi="Times New Roman"/>
                <w:b/>
                <w:sz w:val="19"/>
              </w:rPr>
              <w:t>Kualitas</w:t>
            </w:r>
          </w:p>
        </w:tc>
        <w:tc>
          <w:tcPr>
            <w:tcW w:type="dxa" w:w="3969"/>
            <w:shd w:fill="D9EAF7"/>
            <w:vAlign w:val="center"/>
          </w:tcPr>
          <w:p>
            <w:pPr>
              <w:jc w:val="center"/>
            </w:pPr>
            <w:r>
              <w:rPr>
                <w:rFonts w:ascii="Times New Roman" w:hAnsi="Times New Roman"/>
                <w:b/>
                <w:sz w:val="19"/>
              </w:rPr>
              <w:t>Nilai ilustratif</w:t>
            </w:r>
          </w:p>
        </w:tc>
      </w:tr>
      <w:tr>
        <w:tc>
          <w:tcPr>
            <w:tcW w:type="dxa" w:w="5102"/>
            <w:vAlign w:val="top"/>
          </w:tcPr>
          <w:p>
            <w:r>
              <w:rPr>
                <w:rFonts w:ascii="Times New Roman" w:hAnsi="Times New Roman"/>
                <w:sz w:val="19"/>
              </w:rPr>
              <w:t>Lancar</w:t>
            </w:r>
          </w:p>
        </w:tc>
        <w:tc>
          <w:tcPr>
            <w:tcW w:type="dxa" w:w="3969"/>
            <w:vAlign w:val="top"/>
          </w:tcPr>
          <w:p>
            <w:r>
              <w:rPr>
                <w:rFonts w:ascii="Times New Roman" w:hAnsi="Times New Roman"/>
                <w:sz w:val="19"/>
              </w:rPr>
              <w:t>Rp424,95 miliar</w:t>
            </w:r>
          </w:p>
        </w:tc>
      </w:tr>
      <w:tr>
        <w:tc>
          <w:tcPr>
            <w:tcW w:type="dxa" w:w="5102"/>
            <w:vAlign w:val="top"/>
          </w:tcPr>
          <w:p>
            <w:r>
              <w:rPr>
                <w:rFonts w:ascii="Times New Roman" w:hAnsi="Times New Roman"/>
                <w:sz w:val="19"/>
              </w:rPr>
              <w:t>Kurang Lancar</w:t>
            </w:r>
          </w:p>
        </w:tc>
        <w:tc>
          <w:tcPr>
            <w:tcW w:type="dxa" w:w="3969"/>
            <w:vAlign w:val="top"/>
          </w:tcPr>
          <w:p>
            <w:r>
              <w:rPr>
                <w:rFonts w:ascii="Times New Roman" w:hAnsi="Times New Roman"/>
                <w:sz w:val="19"/>
              </w:rPr>
              <w:t>Rp27,12 miliar</w:t>
            </w:r>
          </w:p>
        </w:tc>
      </w:tr>
      <w:tr>
        <w:tc>
          <w:tcPr>
            <w:tcW w:type="dxa" w:w="5102"/>
            <w:vAlign w:val="top"/>
          </w:tcPr>
          <w:p>
            <w:r>
              <w:rPr>
                <w:rFonts w:ascii="Times New Roman" w:hAnsi="Times New Roman"/>
                <w:sz w:val="19"/>
              </w:rPr>
              <w:t>Diragukan</w:t>
            </w:r>
          </w:p>
        </w:tc>
        <w:tc>
          <w:tcPr>
            <w:tcW w:type="dxa" w:w="3969"/>
            <w:vAlign w:val="top"/>
          </w:tcPr>
          <w:p>
            <w:r>
              <w:rPr>
                <w:rFonts w:ascii="Times New Roman" w:hAnsi="Times New Roman"/>
                <w:sz w:val="19"/>
              </w:rPr>
              <w:t>Rp3,07 miliar</w:t>
            </w:r>
          </w:p>
        </w:tc>
      </w:tr>
      <w:tr>
        <w:tc>
          <w:tcPr>
            <w:tcW w:type="dxa" w:w="5102"/>
            <w:vAlign w:val="top"/>
          </w:tcPr>
          <w:p>
            <w:r>
              <w:rPr>
                <w:rFonts w:ascii="Times New Roman" w:hAnsi="Times New Roman"/>
                <w:sz w:val="19"/>
              </w:rPr>
              <w:t>Macet</w:t>
            </w:r>
          </w:p>
        </w:tc>
        <w:tc>
          <w:tcPr>
            <w:tcW w:type="dxa" w:w="3969"/>
            <w:vAlign w:val="top"/>
          </w:tcPr>
          <w:p>
            <w:r>
              <w:rPr>
                <w:rFonts w:ascii="Times New Roman" w:hAnsi="Times New Roman"/>
                <w:sz w:val="19"/>
              </w:rPr>
              <w:t>Rp666,25 miliar</w:t>
            </w:r>
          </w:p>
        </w:tc>
      </w:tr>
      <w:tr>
        <w:tc>
          <w:tcPr>
            <w:tcW w:type="dxa" w:w="5102"/>
            <w:vAlign w:val="top"/>
          </w:tcPr>
          <w:p>
            <w:r>
              <w:rPr>
                <w:rFonts w:ascii="Times New Roman" w:hAnsi="Times New Roman"/>
                <w:sz w:val="19"/>
              </w:rPr>
              <w:t>Jumlah</w:t>
            </w:r>
          </w:p>
        </w:tc>
        <w:tc>
          <w:tcPr>
            <w:tcW w:type="dxa" w:w="3969"/>
            <w:vAlign w:val="top"/>
          </w:tcPr>
          <w:p>
            <w:r>
              <w:rPr>
                <w:rFonts w:ascii="Times New Roman" w:hAnsi="Times New Roman"/>
                <w:sz w:val="19"/>
              </w:rPr>
              <w:t>Rp1.121,39 miliar</w:t>
            </w:r>
          </w:p>
        </w:tc>
      </w:tr>
      <w:tr>
        <w:tc>
          <w:tcPr>
            <w:tcW w:type="dxa" w:w="5102"/>
            <w:vAlign w:val="top"/>
          </w:tcPr>
          <w:p>
            <w:r>
              <w:rPr>
                <w:rFonts w:ascii="Times New Roman" w:hAnsi="Times New Roman"/>
                <w:sz w:val="19"/>
              </w:rPr>
              <w:t>Porsi portofolio tidak lancar</w:t>
            </w:r>
          </w:p>
        </w:tc>
        <w:tc>
          <w:tcPr>
            <w:tcW w:type="dxa" w:w="3969"/>
            <w:vAlign w:val="top"/>
          </w:tcPr>
          <w:p>
            <w:r>
              <w:rPr>
                <w:rFonts w:ascii="Times New Roman" w:hAnsi="Times New Roman"/>
                <w:sz w:val="19"/>
              </w:rPr>
              <w:t>62,10%</w:t>
            </w:r>
          </w:p>
        </w:tc>
      </w:tr>
    </w:tbl>
    <w:p/>
    <w:p>
      <w:r>
        <w:rPr>
          <w:rFonts w:ascii="Times New Roman" w:hAnsi="Times New Roman"/>
          <w:b w:val="0"/>
          <w:i w:val="0"/>
          <w:color w:val="1F1F1F"/>
        </w:rPr>
        <w:t>Rekonsiliasi: Kurang Lancar + Diragukan + Macet = Rp696,44 miliar; Rp696,44 miliar ÷ Rp1.121,39 miliar ≈ 62,10%.</w:t>
      </w:r>
    </w:p>
    <w:p>
      <w:pPr>
        <w:pStyle w:val="Heading2"/>
      </w:pPr>
      <w:r>
        <w:t>Ilustrasi Lembaga Pembiayaan A - arah tren dipertahankan</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3685"/>
            <w:shd w:fill="D9EAF7"/>
            <w:vAlign w:val="center"/>
          </w:tcPr>
          <w:p>
            <w:pPr>
              <w:jc w:val="center"/>
            </w:pPr>
            <w:r>
              <w:rPr>
                <w:rFonts w:ascii="Times New Roman" w:hAnsi="Times New Roman"/>
                <w:b/>
                <w:sz w:val="19"/>
              </w:rPr>
              <w:t>Indikator ilustratif</w:t>
            </w:r>
          </w:p>
        </w:tc>
        <w:tc>
          <w:tcPr>
            <w:tcW w:type="dxa" w:w="1984"/>
            <w:shd w:fill="D9EAF7"/>
            <w:vAlign w:val="center"/>
          </w:tcPr>
          <w:p>
            <w:pPr>
              <w:jc w:val="center"/>
            </w:pPr>
            <w:r>
              <w:rPr>
                <w:rFonts w:ascii="Times New Roman" w:hAnsi="Times New Roman"/>
                <w:b/>
                <w:sz w:val="19"/>
              </w:rPr>
              <w:t>Periode awal</w:t>
            </w:r>
          </w:p>
        </w:tc>
        <w:tc>
          <w:tcPr>
            <w:tcW w:type="dxa" w:w="1984"/>
            <w:shd w:fill="D9EAF7"/>
            <w:vAlign w:val="center"/>
          </w:tcPr>
          <w:p>
            <w:pPr>
              <w:jc w:val="center"/>
            </w:pPr>
            <w:r>
              <w:rPr>
                <w:rFonts w:ascii="Times New Roman" w:hAnsi="Times New Roman"/>
                <w:b/>
                <w:sz w:val="19"/>
              </w:rPr>
              <w:t>Periode berikut</w:t>
            </w:r>
          </w:p>
        </w:tc>
        <w:tc>
          <w:tcPr>
            <w:tcW w:type="dxa" w:w="2268"/>
            <w:shd w:fill="D9EAF7"/>
            <w:vAlign w:val="center"/>
          </w:tcPr>
          <w:p>
            <w:pPr>
              <w:jc w:val="center"/>
            </w:pPr>
            <w:r>
              <w:rPr>
                <w:rFonts w:ascii="Times New Roman" w:hAnsi="Times New Roman"/>
                <w:b/>
                <w:sz w:val="19"/>
              </w:rPr>
              <w:t>Arah</w:t>
            </w:r>
          </w:p>
        </w:tc>
      </w:tr>
      <w:tr>
        <w:tc>
          <w:tcPr>
            <w:tcW w:type="dxa" w:w="3685"/>
            <w:vAlign w:val="top"/>
          </w:tcPr>
          <w:p>
            <w:r>
              <w:rPr>
                <w:rFonts w:ascii="Times New Roman" w:hAnsi="Times New Roman"/>
                <w:sz w:val="19"/>
              </w:rPr>
              <w:t>Collection and recovery</w:t>
            </w:r>
          </w:p>
        </w:tc>
        <w:tc>
          <w:tcPr>
            <w:tcW w:type="dxa" w:w="1984"/>
            <w:vAlign w:val="top"/>
          </w:tcPr>
          <w:p>
            <w:r>
              <w:rPr>
                <w:rFonts w:ascii="Times New Roman" w:hAnsi="Times New Roman"/>
                <w:sz w:val="19"/>
              </w:rPr>
              <w:t>-</w:t>
            </w:r>
          </w:p>
        </w:tc>
        <w:tc>
          <w:tcPr>
            <w:tcW w:type="dxa" w:w="1984"/>
            <w:vAlign w:val="top"/>
          </w:tcPr>
          <w:p>
            <w:r>
              <w:rPr>
                <w:rFonts w:ascii="Times New Roman" w:hAnsi="Times New Roman"/>
                <w:sz w:val="19"/>
              </w:rPr>
              <w:t>Rp4,23 triliun</w:t>
            </w:r>
          </w:p>
        </w:tc>
        <w:tc>
          <w:tcPr>
            <w:tcW w:type="dxa" w:w="2268"/>
            <w:vAlign w:val="top"/>
          </w:tcPr>
          <w:p>
            <w:r>
              <w:rPr>
                <w:rFonts w:ascii="Times New Roman" w:hAnsi="Times New Roman"/>
                <w:sz w:val="19"/>
              </w:rPr>
              <w:t>material</w:t>
            </w:r>
          </w:p>
        </w:tc>
      </w:tr>
      <w:tr>
        <w:tc>
          <w:tcPr>
            <w:tcW w:type="dxa" w:w="3685"/>
            <w:vAlign w:val="top"/>
          </w:tcPr>
          <w:p>
            <w:r>
              <w:rPr>
                <w:rFonts w:ascii="Times New Roman" w:hAnsi="Times New Roman"/>
                <w:sz w:val="19"/>
              </w:rPr>
              <w:t>NPF net</w:t>
            </w:r>
          </w:p>
        </w:tc>
        <w:tc>
          <w:tcPr>
            <w:tcW w:type="dxa" w:w="1984"/>
            <w:vAlign w:val="top"/>
          </w:tcPr>
          <w:p>
            <w:r>
              <w:rPr>
                <w:rFonts w:ascii="Times New Roman" w:hAnsi="Times New Roman"/>
                <w:sz w:val="19"/>
              </w:rPr>
              <w:t>4,07%</w:t>
            </w:r>
          </w:p>
        </w:tc>
        <w:tc>
          <w:tcPr>
            <w:tcW w:type="dxa" w:w="1984"/>
            <w:vAlign w:val="top"/>
          </w:tcPr>
          <w:p>
            <w:r>
              <w:rPr>
                <w:rFonts w:ascii="Times New Roman" w:hAnsi="Times New Roman"/>
                <w:sz w:val="19"/>
              </w:rPr>
              <w:t>2,17%</w:t>
            </w:r>
          </w:p>
        </w:tc>
        <w:tc>
          <w:tcPr>
            <w:tcW w:type="dxa" w:w="2268"/>
            <w:vAlign w:val="top"/>
          </w:tcPr>
          <w:p>
            <w:r>
              <w:rPr>
                <w:rFonts w:ascii="Times New Roman" w:hAnsi="Times New Roman"/>
                <w:sz w:val="19"/>
              </w:rPr>
              <w:t>membaik</w:t>
            </w:r>
          </w:p>
        </w:tc>
      </w:tr>
      <w:tr>
        <w:tc>
          <w:tcPr>
            <w:tcW w:type="dxa" w:w="3685"/>
            <w:vAlign w:val="top"/>
          </w:tcPr>
          <w:p>
            <w:r>
              <w:rPr>
                <w:rFonts w:ascii="Times New Roman" w:hAnsi="Times New Roman"/>
                <w:sz w:val="19"/>
              </w:rPr>
              <w:t>NPF gross</w:t>
            </w:r>
          </w:p>
        </w:tc>
        <w:tc>
          <w:tcPr>
            <w:tcW w:type="dxa" w:w="1984"/>
            <w:vAlign w:val="top"/>
          </w:tcPr>
          <w:p>
            <w:r>
              <w:rPr>
                <w:rFonts w:ascii="Times New Roman" w:hAnsi="Times New Roman"/>
                <w:sz w:val="19"/>
              </w:rPr>
              <w:t>26,16%</w:t>
            </w:r>
          </w:p>
        </w:tc>
        <w:tc>
          <w:tcPr>
            <w:tcW w:type="dxa" w:w="1984"/>
            <w:vAlign w:val="top"/>
          </w:tcPr>
          <w:p>
            <w:r>
              <w:rPr>
                <w:rFonts w:ascii="Times New Roman" w:hAnsi="Times New Roman"/>
                <w:sz w:val="19"/>
              </w:rPr>
              <w:t>27,82%</w:t>
            </w:r>
          </w:p>
        </w:tc>
        <w:tc>
          <w:tcPr>
            <w:tcW w:type="dxa" w:w="2268"/>
            <w:vAlign w:val="top"/>
          </w:tcPr>
          <w:p>
            <w:r>
              <w:rPr>
                <w:rFonts w:ascii="Times New Roman" w:hAnsi="Times New Roman"/>
                <w:sz w:val="19"/>
              </w:rPr>
              <w:t>memburuk/tetap sangat material</w:t>
            </w:r>
          </w:p>
        </w:tc>
      </w:tr>
    </w:tbl>
    <w:p/>
    <w:tbl>
      <w:tblPr>
        <w:tblW w:type="auto" w:w="0"/>
        <w:jc w:val="center"/>
        <w:tblLook w:firstColumn="1" w:firstRow="1" w:lastColumn="0" w:lastRow="0" w:noHBand="0" w:noVBand="1" w:val="04A0"/>
      </w:tblPr>
      <w:tblGrid>
        <w:gridCol w:w="9972"/>
      </w:tblGrid>
      <w:tr>
        <w:tc>
          <w:tcPr>
            <w:tcW w:type="dxa" w:w="9972"/>
            <w:shd w:fill="EAF2F8"/>
          </w:tcPr>
          <w:p>
            <w:r>
              <w:rPr>
                <w:rFonts w:ascii="Times New Roman" w:hAnsi="Times New Roman"/>
                <w:b/>
                <w:color w:val="1F4E79"/>
                <w:sz w:val="23"/>
              </w:rPr>
              <w:t>Kesimpulan analitis</w:t>
              <w:br/>
            </w:r>
            <w:r>
              <w:rPr>
                <w:rFonts w:ascii="Times New Roman" w:hAnsi="Times New Roman"/>
                <w:color w:val="1F1F1F"/>
                <w:sz w:val="22"/>
              </w:rPr>
              <w:t>Perbaikan indikator neto tidak boleh dibaca sebagai penyelesaian masalah apabila kualitas aset bruto tetap material. Legacy book dan new book harus dipisahkan.</w:t>
            </w:r>
          </w:p>
        </w:tc>
      </w:tr>
    </w:tbl>
    <w:p>
      <w:r>
        <w:rPr>
          <w:rFonts w:ascii="Times New Roman" w:hAnsi="Times New Roman"/>
          <w:b/>
          <w:color w:val="1F4E79"/>
          <w:sz w:val="23"/>
        </w:rPr>
        <w:t>Endpoint discipline</w:t>
        <w:br/>
      </w:r>
      <w:r>
        <w:rPr>
          <w:rFonts w:ascii="Times New Roman" w:hAnsi="Times New Roman"/>
          <w:b/>
          <w:sz w:val="23"/>
        </w:rPr>
        <w:t>START POINT → INTERMEDIATE STATES → VALUE ENDPOINT → EXPECTED TIME → TOLERANCE → EVIDENCE</w:t>
      </w:r>
    </w:p>
    <w:p>
      <w:pPr>
        <w:pStyle w:val="Heading2"/>
      </w:pPr>
      <w:r>
        <w:t>Early Warning</w:t>
      </w:r>
    </w:p>
    <w:p>
      <w:r>
        <w:rPr>
          <w:rFonts w:ascii="Times New Roman" w:hAnsi="Times New Roman"/>
          <w:b w:val="0"/>
          <w:i w:val="0"/>
          <w:color w:val="1F1F1F"/>
        </w:rPr>
        <w:t>Contoh: DSO, overdue rate, aging, roll-forward ke bucket lebih buruk, cure, recovery, write-off, receivable concentration, DSCR/CFADS, dan fiscal affordability sesuai karakter instrumen.</w:t>
      </w:r>
    </w:p>
    <w:p>
      <w:pPr>
        <w:pStyle w:val="Heading1"/>
        <w:spacing w:after="60" w:before="0"/>
      </w:pPr>
      <w:r>
        <w:t>09. BAB IX - DUA PINTU BESAR RISIKO PERPINDAHAN NILAI</w:t>
      </w:r>
    </w:p>
    <w:p>
      <w:pPr>
        <w:spacing w:after="60" w:before="0"/>
      </w:pPr>
      <w:r>
        <w:rPr>
          <w:rFonts w:ascii="Times New Roman" w:hAnsi="Times New Roman"/>
          <w:i/>
          <w:color w:val="606060"/>
          <w:sz w:val="21"/>
        </w:rPr>
        <w:t>Rujukan buku: hlm. 177-198  |  Workbook: 09_FRA_SRV_PWAR</w:t>
      </w:r>
    </w:p>
    <w:p>
      <w:pPr>
        <w:spacing w:after="60" w:before="0"/>
      </w:pPr>
      <w:r>
        <w:rPr>
          <w:rFonts w:ascii="Times New Roman" w:hAnsi="Times New Roman"/>
          <w:b/>
          <w:color w:val="1F4E79"/>
          <w:sz w:val="21"/>
        </w:rPr>
        <w:t>FRA dasar</w:t>
        <w:br/>
      </w:r>
      <w:r>
        <w:rPr>
          <w:rFonts w:ascii="Times New Roman" w:hAnsi="Times New Roman"/>
          <w:b/>
          <w:sz w:val="21"/>
        </w:rPr>
        <w:t>Risk Score = Dampak (1-5) × Kemungkinan (1-5)</w:t>
      </w:r>
      <w:r>
        <w:rPr>
          <w:rFonts w:ascii="Times New Roman" w:hAnsi="Times New Roman"/>
          <w:i/>
          <w:color w:val="606060"/>
          <w:sz w:val="21"/>
        </w:rPr>
        <w:br/>
        <w:t>Starting point. Kalibrasi juga harus membaca materiality, complexity, control effectiveness, dan velocity/urgency.</w:t>
      </w:r>
    </w:p>
    <w:p>
      <w:pPr>
        <w:pStyle w:val="Heading2"/>
        <w:spacing w:after="60" w:before="0"/>
      </w:pPr>
      <w:r>
        <w:t>Sovereign Reservation Value (SRV)</w:t>
      </w:r>
    </w:p>
    <w:tbl>
      <w:tblPr>
        <w:tblStyle w:val="TableGrid"/>
        <w:tblW w:type="auto" w:w="0"/>
        <w:jc w:val="center"/>
        <w:tblLook w:firstColumn="1" w:firstRow="1" w:lastColumn="0" w:lastRow="0" w:noHBand="0" w:noVBand="1" w:val="04A0"/>
      </w:tblPr>
      <w:tblGrid>
        <w:gridCol w:w="3324"/>
        <w:gridCol w:w="3324"/>
        <w:gridCol w:w="3324"/>
      </w:tblGrid>
      <w:tr>
        <w:tc>
          <w:tcPr>
            <w:tcW w:type="dxa" w:w="2551"/>
            <w:shd w:fill="D9EAF7"/>
            <w:vAlign w:val="center"/>
          </w:tcPr>
          <w:p>
            <w:pPr>
              <w:jc w:val="center"/>
            </w:pPr>
            <w:r>
              <w:rPr>
                <w:rFonts w:ascii="Times New Roman" w:hAnsi="Times New Roman"/>
                <w:b/>
                <w:sz w:val="19"/>
              </w:rPr>
              <w:t>Komponen</w:t>
            </w:r>
          </w:p>
        </w:tc>
        <w:tc>
          <w:tcPr>
            <w:tcW w:type="dxa" w:w="3969"/>
            <w:shd w:fill="D9EAF7"/>
            <w:vAlign w:val="center"/>
          </w:tcPr>
          <w:p>
            <w:pPr>
              <w:jc w:val="center"/>
            </w:pPr>
            <w:r>
              <w:rPr>
                <w:rFonts w:ascii="Times New Roman" w:hAnsi="Times New Roman"/>
                <w:b/>
                <w:sz w:val="19"/>
              </w:rPr>
              <w:t>Pertanyaan</w:t>
            </w:r>
          </w:p>
        </w:tc>
        <w:tc>
          <w:tcPr>
            <w:tcW w:type="dxa" w:w="3402"/>
            <w:shd w:fill="D9EAF7"/>
            <w:vAlign w:val="center"/>
          </w:tcPr>
          <w:p>
            <w:pPr>
              <w:jc w:val="center"/>
            </w:pPr>
            <w:r>
              <w:rPr>
                <w:rFonts w:ascii="Times New Roman" w:hAnsi="Times New Roman"/>
                <w:b/>
                <w:sz w:val="19"/>
              </w:rPr>
              <w:t>Guardrail</w:t>
            </w:r>
          </w:p>
        </w:tc>
      </w:tr>
      <w:tr>
        <w:tc>
          <w:tcPr>
            <w:tcW w:type="dxa" w:w="2551"/>
            <w:vAlign w:val="top"/>
          </w:tcPr>
          <w:p>
            <w:r>
              <w:rPr>
                <w:rFonts w:ascii="Times New Roman" w:hAnsi="Times New Roman"/>
                <w:sz w:val="19"/>
              </w:rPr>
              <w:t>Resource rent/fiscal value</w:t>
            </w:r>
          </w:p>
        </w:tc>
        <w:tc>
          <w:tcPr>
            <w:tcW w:type="dxa" w:w="3969"/>
            <w:vAlign w:val="top"/>
          </w:tcPr>
          <w:p>
            <w:r>
              <w:rPr>
                <w:rFonts w:ascii="Times New Roman" w:hAnsi="Times New Roman"/>
                <w:sz w:val="19"/>
              </w:rPr>
              <w:t>Berapa rente dan public take yang masuk akal?</w:t>
            </w:r>
          </w:p>
        </w:tc>
        <w:tc>
          <w:tcPr>
            <w:tcW w:type="dxa" w:w="3402"/>
            <w:vAlign w:val="top"/>
          </w:tcPr>
          <w:p>
            <w:r>
              <w:rPr>
                <w:rFonts w:ascii="Times New Roman" w:hAnsi="Times New Roman"/>
                <w:sz w:val="19"/>
              </w:rPr>
              <w:t>Gunakan scenario, cost curve, normal return; hindari gross revenue.</w:t>
            </w:r>
          </w:p>
        </w:tc>
      </w:tr>
      <w:tr>
        <w:tc>
          <w:tcPr>
            <w:tcW w:type="dxa" w:w="2551"/>
            <w:vAlign w:val="top"/>
          </w:tcPr>
          <w:p>
            <w:r>
              <w:rPr>
                <w:rFonts w:ascii="Times New Roman" w:hAnsi="Times New Roman"/>
                <w:sz w:val="19"/>
              </w:rPr>
              <w:t>Investment/additionality</w:t>
            </w:r>
          </w:p>
        </w:tc>
        <w:tc>
          <w:tcPr>
            <w:tcW w:type="dxa" w:w="3969"/>
            <w:vAlign w:val="top"/>
          </w:tcPr>
          <w:p>
            <w:r>
              <w:rPr>
                <w:rFonts w:ascii="Times New Roman" w:hAnsi="Times New Roman"/>
                <w:sz w:val="19"/>
              </w:rPr>
              <w:t>Investasi apa yang benar-benar tambahan karena hak diberikan?</w:t>
            </w:r>
          </w:p>
        </w:tc>
        <w:tc>
          <w:tcPr>
            <w:tcW w:type="dxa" w:w="3402"/>
            <w:vAlign w:val="top"/>
          </w:tcPr>
          <w:p>
            <w:r>
              <w:rPr>
                <w:rFonts w:ascii="Times New Roman" w:hAnsi="Times New Roman"/>
                <w:sz w:val="19"/>
              </w:rPr>
              <w:t>Jangan hitung investasi yang memang wajib/akan terjadi.</w:t>
            </w:r>
          </w:p>
        </w:tc>
      </w:tr>
      <w:tr>
        <w:tc>
          <w:tcPr>
            <w:tcW w:type="dxa" w:w="2551"/>
            <w:vAlign w:val="top"/>
          </w:tcPr>
          <w:p>
            <w:r>
              <w:rPr>
                <w:rFonts w:ascii="Times New Roman" w:hAnsi="Times New Roman"/>
                <w:sz w:val="19"/>
              </w:rPr>
              <w:t>Environmental obligation</w:t>
            </w:r>
          </w:p>
        </w:tc>
        <w:tc>
          <w:tcPr>
            <w:tcW w:type="dxa" w:w="3969"/>
            <w:vAlign w:val="top"/>
          </w:tcPr>
          <w:p>
            <w:r>
              <w:rPr>
                <w:rFonts w:ascii="Times New Roman" w:hAnsi="Times New Roman"/>
                <w:sz w:val="19"/>
              </w:rPr>
              <w:t>Berapa biaya pemulihan dan siapa menanggung?</w:t>
            </w:r>
          </w:p>
        </w:tc>
        <w:tc>
          <w:tcPr>
            <w:tcW w:type="dxa" w:w="3402"/>
            <w:vAlign w:val="top"/>
          </w:tcPr>
          <w:p>
            <w:r>
              <w:rPr>
                <w:rFonts w:ascii="Times New Roman" w:hAnsi="Times New Roman"/>
                <w:sz w:val="19"/>
              </w:rPr>
              <w:t>Pisahkan kewajiban operator dari benefit negara.</w:t>
            </w:r>
          </w:p>
        </w:tc>
      </w:tr>
      <w:tr>
        <w:tc>
          <w:tcPr>
            <w:tcW w:type="dxa" w:w="2551"/>
            <w:vAlign w:val="top"/>
          </w:tcPr>
          <w:p>
            <w:r>
              <w:rPr>
                <w:rFonts w:ascii="Times New Roman" w:hAnsi="Times New Roman"/>
                <w:sz w:val="19"/>
              </w:rPr>
              <w:t>Strategic/social value</w:t>
            </w:r>
          </w:p>
        </w:tc>
        <w:tc>
          <w:tcPr>
            <w:tcW w:type="dxa" w:w="3969"/>
            <w:vAlign w:val="top"/>
          </w:tcPr>
          <w:p>
            <w:r>
              <w:rPr>
                <w:rFonts w:ascii="Times New Roman" w:hAnsi="Times New Roman"/>
                <w:sz w:val="19"/>
              </w:rPr>
              <w:t>Manfaat publik apa yang dapat diverifikasi?</w:t>
            </w:r>
          </w:p>
        </w:tc>
        <w:tc>
          <w:tcPr>
            <w:tcW w:type="dxa" w:w="3402"/>
            <w:vAlign w:val="top"/>
          </w:tcPr>
          <w:p>
            <w:r>
              <w:rPr>
                <w:rFonts w:ascii="Times New Roman" w:hAnsi="Times New Roman"/>
                <w:sz w:val="19"/>
              </w:rPr>
              <w:t>Gunakan KPI; jangan monetisasi paksa.</w:t>
            </w:r>
          </w:p>
        </w:tc>
      </w:tr>
      <w:tr>
        <w:tc>
          <w:tcPr>
            <w:tcW w:type="dxa" w:w="2551"/>
            <w:vAlign w:val="top"/>
          </w:tcPr>
          <w:p>
            <w:r>
              <w:rPr>
                <w:rFonts w:ascii="Times New Roman" w:hAnsi="Times New Roman"/>
                <w:sz w:val="19"/>
              </w:rPr>
              <w:t>Option value</w:t>
            </w:r>
          </w:p>
        </w:tc>
        <w:tc>
          <w:tcPr>
            <w:tcW w:type="dxa" w:w="3969"/>
            <w:vAlign w:val="top"/>
          </w:tcPr>
          <w:p>
            <w:r>
              <w:rPr>
                <w:rFonts w:ascii="Times New Roman" w:hAnsi="Times New Roman"/>
                <w:sz w:val="19"/>
              </w:rPr>
              <w:t>Apa nilai menunggu, menolak, atau mengubah desain award?</w:t>
            </w:r>
          </w:p>
        </w:tc>
        <w:tc>
          <w:tcPr>
            <w:tcW w:type="dxa" w:w="3402"/>
            <w:vAlign w:val="top"/>
          </w:tcPr>
          <w:p>
            <w:r>
              <w:rPr>
                <w:rFonts w:ascii="Times New Roman" w:hAnsi="Times New Roman"/>
                <w:sz w:val="19"/>
              </w:rPr>
              <w:t>Uji alternatif dan timing.</w:t>
            </w:r>
          </w:p>
        </w:tc>
      </w:tr>
      <w:tr>
        <w:tc>
          <w:tcPr>
            <w:tcW w:type="dxa" w:w="2551"/>
            <w:vAlign w:val="top"/>
          </w:tcPr>
          <w:p>
            <w:r>
              <w:rPr>
                <w:rFonts w:ascii="Times New Roman" w:hAnsi="Times New Roman"/>
                <w:sz w:val="19"/>
              </w:rPr>
              <w:t>Risk retained by state</w:t>
            </w:r>
          </w:p>
        </w:tc>
        <w:tc>
          <w:tcPr>
            <w:tcW w:type="dxa" w:w="3969"/>
            <w:vAlign w:val="top"/>
          </w:tcPr>
          <w:p>
            <w:r>
              <w:rPr>
                <w:rFonts w:ascii="Times New Roman" w:hAnsi="Times New Roman"/>
                <w:sz w:val="19"/>
              </w:rPr>
              <w:t>Risiko apa tetap di pemerintah/masyarakat?</w:t>
            </w:r>
          </w:p>
        </w:tc>
        <w:tc>
          <w:tcPr>
            <w:tcW w:type="dxa" w:w="3402"/>
            <w:vAlign w:val="top"/>
          </w:tcPr>
          <w:p>
            <w:r>
              <w:rPr>
                <w:rFonts w:ascii="Times New Roman" w:hAnsi="Times New Roman"/>
                <w:sz w:val="19"/>
              </w:rPr>
              <w:t>Kurangi/ungkap; jangan dihitung dua kali.</w:t>
            </w:r>
          </w:p>
        </w:tc>
      </w:tr>
    </w:tbl>
    <w:p>
      <w:pPr>
        <w:spacing w:after="60" w:before="0"/>
      </w:pPr>
    </w:p>
    <w:p>
      <w:pPr>
        <w:pStyle w:val="Heading2"/>
        <w:spacing w:after="60" w:before="0"/>
      </w:pPr>
      <w:r>
        <w:t>Public Wealth at Risk (PWAR)</w:t>
      </w:r>
    </w:p>
    <w:p>
      <w:pPr>
        <w:spacing w:after="60" w:before="0"/>
      </w:pPr>
      <w:r>
        <w:rPr>
          <w:rFonts w:ascii="Times New Roman" w:hAnsi="Times New Roman"/>
          <w:b w:val="0"/>
          <w:i w:val="0"/>
          <w:color w:val="1F1F1F"/>
          <w:sz w:val="21"/>
        </w:rPr>
        <w:t>Komponen dapat mencakup underpricing at award, uncaptured resource rent, revenue leakage, amendment/extension value, environmental liability shifted to the state, dan lost option value.</w:t>
      </w:r>
    </w:p>
    <w:tbl>
      <w:tblPr>
        <w:tblW w:type="auto" w:w="0"/>
        <w:jc w:val="center"/>
        <w:tblLook w:firstColumn="1" w:firstRow="1" w:lastColumn="0" w:lastRow="0" w:noHBand="0" w:noVBand="1" w:val="04A0"/>
      </w:tblPr>
      <w:tblGrid>
        <w:gridCol w:w="9972"/>
      </w:tblGrid>
      <w:tr>
        <w:tc>
          <w:tcPr>
            <w:tcW w:type="dxa" w:w="9972"/>
            <w:shd w:fill="EAF2F8"/>
          </w:tcPr>
          <w:p>
            <w:r>
              <w:rPr>
                <w:rFonts w:ascii="Times New Roman" w:hAnsi="Times New Roman"/>
                <w:b/>
                <w:color w:val="1F4E79"/>
                <w:sz w:val="23"/>
              </w:rPr>
              <w:t>Cara penyajian</w:t>
              <w:br/>
            </w:r>
            <w:r>
              <w:rPr>
                <w:rFonts w:ascii="Times New Roman" w:hAnsi="Times New Roman"/>
                <w:color w:val="1F1F1F"/>
                <w:sz w:val="22"/>
              </w:rPr>
              <w:t>Jangan paksa menjadi satu angka. Gunakan scenario band: BASE | DOWNSIDE | SEVERE, dengan eliminasi double counting.</w:t>
            </w:r>
          </w:p>
        </w:tc>
      </w:tr>
    </w:tbl>
    <w:p>
      <w:pPr>
        <w:pStyle w:val="Heading2"/>
        <w:spacing w:after="60" w:before="0"/>
      </w:pPr>
      <w:r>
        <w:t>Governance roles</w:t>
      </w:r>
    </w:p>
    <w:tbl>
      <w:tblPr>
        <w:tblStyle w:val="TableGrid"/>
        <w:tblW w:type="auto" w:w="0"/>
        <w:jc w:val="center"/>
        <w:tblLook w:firstColumn="1" w:firstRow="1" w:lastColumn="0" w:lastRow="0" w:noHBand="0" w:noVBand="1" w:val="04A0"/>
      </w:tblPr>
      <w:tblGrid>
        <w:gridCol w:w="4986"/>
        <w:gridCol w:w="4986"/>
      </w:tblGrid>
      <w:tr>
        <w:tc>
          <w:tcPr>
            <w:tcW w:type="dxa" w:w="2835"/>
            <w:shd w:fill="D9EAF7"/>
            <w:vAlign w:val="center"/>
          </w:tcPr>
          <w:p>
            <w:pPr>
              <w:jc w:val="center"/>
            </w:pPr>
            <w:r>
              <w:rPr>
                <w:rFonts w:ascii="Times New Roman" w:hAnsi="Times New Roman"/>
                <w:b/>
                <w:sz w:val="19"/>
              </w:rPr>
              <w:t>Peran</w:t>
            </w:r>
          </w:p>
        </w:tc>
        <w:tc>
          <w:tcPr>
            <w:tcW w:type="dxa" w:w="6803"/>
            <w:shd w:fill="D9EAF7"/>
            <w:vAlign w:val="center"/>
          </w:tcPr>
          <w:p>
            <w:pPr>
              <w:jc w:val="center"/>
            </w:pPr>
            <w:r>
              <w:rPr>
                <w:rFonts w:ascii="Times New Roman" w:hAnsi="Times New Roman"/>
                <w:b/>
                <w:sz w:val="19"/>
              </w:rPr>
              <w:t>Fungsi</w:t>
            </w:r>
          </w:p>
        </w:tc>
      </w:tr>
      <w:tr>
        <w:tc>
          <w:tcPr>
            <w:tcW w:type="dxa" w:w="2835"/>
            <w:vAlign w:val="top"/>
          </w:tcPr>
          <w:p>
            <w:r>
              <w:rPr>
                <w:rFonts w:ascii="Times New Roman" w:hAnsi="Times New Roman"/>
                <w:sz w:val="19"/>
              </w:rPr>
              <w:t>Decision Owner</w:t>
            </w:r>
          </w:p>
        </w:tc>
        <w:tc>
          <w:tcPr>
            <w:tcW w:type="dxa" w:w="6803"/>
            <w:vAlign w:val="top"/>
          </w:tcPr>
          <w:p>
            <w:r>
              <w:rPr>
                <w:rFonts w:ascii="Times New Roman" w:hAnsi="Times New Roman"/>
                <w:sz w:val="19"/>
              </w:rPr>
              <w:t>Memiliki mandat dan kewenangan mengambil keputusan.</w:t>
            </w:r>
          </w:p>
        </w:tc>
      </w:tr>
      <w:tr>
        <w:tc>
          <w:tcPr>
            <w:tcW w:type="dxa" w:w="2835"/>
            <w:vAlign w:val="top"/>
          </w:tcPr>
          <w:p>
            <w:r>
              <w:rPr>
                <w:rFonts w:ascii="Times New Roman" w:hAnsi="Times New Roman"/>
                <w:sz w:val="19"/>
              </w:rPr>
              <w:t>Control Owner</w:t>
            </w:r>
          </w:p>
        </w:tc>
        <w:tc>
          <w:tcPr>
            <w:tcW w:type="dxa" w:w="6803"/>
            <w:vAlign w:val="top"/>
          </w:tcPr>
          <w:p>
            <w:r>
              <w:rPr>
                <w:rFonts w:ascii="Times New Roman" w:hAnsi="Times New Roman"/>
                <w:sz w:val="19"/>
              </w:rPr>
              <w:t>Menjalankan pengendalian harian dan menjaga kepatuhan proses/kontrak.</w:t>
            </w:r>
          </w:p>
        </w:tc>
      </w:tr>
      <w:tr>
        <w:tc>
          <w:tcPr>
            <w:tcW w:type="dxa" w:w="2835"/>
            <w:vAlign w:val="top"/>
          </w:tcPr>
          <w:p>
            <w:r>
              <w:rPr>
                <w:rFonts w:ascii="Times New Roman" w:hAnsi="Times New Roman"/>
                <w:sz w:val="19"/>
              </w:rPr>
              <w:t>Independent Challenge</w:t>
            </w:r>
          </w:p>
        </w:tc>
        <w:tc>
          <w:tcPr>
            <w:tcW w:type="dxa" w:w="6803"/>
            <w:vAlign w:val="top"/>
          </w:tcPr>
          <w:p>
            <w:r>
              <w:rPr>
                <w:rFonts w:ascii="Times New Roman" w:hAnsi="Times New Roman"/>
                <w:sz w:val="19"/>
              </w:rPr>
              <w:t>Menguji asumsi, risiko, konflik kepentingan, dan kualitas informasi sebelum keputusan.</w:t>
            </w:r>
          </w:p>
        </w:tc>
      </w:tr>
      <w:tr>
        <w:tc>
          <w:tcPr>
            <w:tcW w:type="dxa" w:w="2835"/>
            <w:vAlign w:val="top"/>
          </w:tcPr>
          <w:p>
            <w:r>
              <w:rPr>
                <w:rFonts w:ascii="Times New Roman" w:hAnsi="Times New Roman"/>
                <w:sz w:val="19"/>
              </w:rPr>
              <w:t>Assurance</w:t>
            </w:r>
          </w:p>
        </w:tc>
        <w:tc>
          <w:tcPr>
            <w:tcW w:type="dxa" w:w="6803"/>
            <w:vAlign w:val="top"/>
          </w:tcPr>
          <w:p>
            <w:r>
              <w:rPr>
                <w:rFonts w:ascii="Times New Roman" w:hAnsi="Times New Roman"/>
                <w:sz w:val="19"/>
              </w:rPr>
              <w:t>Menilai apakah governance, control, dan decision process bekerja sebagaimana dirancang.</w:t>
            </w:r>
          </w:p>
        </w:tc>
      </w:tr>
    </w:tbl>
    <w:p>
      <w:pPr>
        <w:spacing w:after="60" w:before="0"/>
      </w:pPr>
    </w:p>
    <w:p>
      <w:pPr>
        <w:spacing w:after="60" w:before="0"/>
      </w:pPr>
      <w:r>
        <w:rPr>
          <w:rFonts w:ascii="Times New Roman" w:hAnsi="Times New Roman"/>
          <w:b/>
          <w:color w:val="1F4E79"/>
          <w:sz w:val="21"/>
        </w:rPr>
        <w:t>Risk Mitigation Architecture</w:t>
        <w:br/>
      </w:r>
      <w:r>
        <w:rPr>
          <w:rFonts w:ascii="Times New Roman" w:hAnsi="Times New Roman"/>
          <w:b/>
          <w:sz w:val="21"/>
        </w:rPr>
        <w:t>risk event → inherent risk → existing control → control effectiveness → residual risk → mitigation action → risk owner → KPI/KRI → escalation atau risk acceptance</w:t>
      </w:r>
    </w:p>
    <w:p>
      <w:pPr>
        <w:spacing w:after="60" w:before="0"/>
      </w:pPr>
      <w:r>
        <w:rPr>
          <w:sz w:val="21"/>
        </w:rPr>
        <w:br w:type="page"/>
      </w:r>
    </w:p>
    <w:p>
      <w:pPr>
        <w:pStyle w:val="Heading1"/>
      </w:pPr>
      <w:r>
        <w:t>10. BAB X - KELUAR DARI LINGKARAN SETAN KORUPSI</w:t>
      </w:r>
    </w:p>
    <w:p>
      <w:r>
        <w:rPr>
          <w:rFonts w:ascii="Times New Roman" w:hAnsi="Times New Roman"/>
          <w:i/>
          <w:color w:val="606060"/>
          <w:sz w:val="21"/>
        </w:rPr>
        <w:t>Rujukan buku: hlm. 199-213  |  Workbook: 10_ANTI_CORRUPTION</w:t>
      </w:r>
    </w:p>
    <w:p>
      <w:r>
        <w:rPr>
          <w:rFonts w:ascii="Times New Roman" w:hAnsi="Times New Roman"/>
          <w:b/>
          <w:color w:val="1F4E79"/>
          <w:sz w:val="23"/>
        </w:rPr>
        <w:t>Attributable Public Value Loss</w:t>
        <w:br/>
      </w:r>
      <w:r>
        <w:rPr>
          <w:rFonts w:ascii="Times New Roman" w:hAnsi="Times New Roman"/>
          <w:b/>
          <w:sz w:val="23"/>
        </w:rPr>
        <w:t>≈ Direct Fiscal Loss + Attributable Quality Loss + Attributable Opportunity Cost + Lost Economic Multiplier + Environmental/Social Loss + Future Fiscal Cost</w:t>
      </w:r>
      <w:r>
        <w:rPr>
          <w:rFonts w:ascii="Times New Roman" w:hAnsi="Times New Roman"/>
          <w:i/>
          <w:color w:val="606060"/>
          <w:sz w:val="21"/>
        </w:rPr>
        <w:br/>
        <w:t>Bukan definisi hukum dan bukan standar akuntansi; hindari double counting. Institutional trust loss sebaiknya disajikan terpisah bila monetisasi tidak andal.</w:t>
      </w:r>
    </w:p>
    <w:p>
      <w:r>
        <w:rPr>
          <w:rFonts w:ascii="Times New Roman" w:hAnsi="Times New Roman"/>
          <w:b/>
          <w:color w:val="1F4E79"/>
          <w:sz w:val="23"/>
        </w:rPr>
        <w:t>Red flag discipline</w:t>
        <w:br/>
      </w:r>
      <w:r>
        <w:rPr>
          <w:rFonts w:ascii="Times New Roman" w:hAnsi="Times New Roman"/>
          <w:b/>
          <w:sz w:val="23"/>
        </w:rPr>
        <w:t>SIGNAL → VALIDATION → FINDING</w:t>
      </w:r>
    </w:p>
    <w:p>
      <w:pPr>
        <w:pStyle w:val="Heading2"/>
      </w:pPr>
      <w:r>
        <w:t>Lima jejak</w:t>
      </w:r>
    </w:p>
    <w:tbl>
      <w:tblPr>
        <w:tblStyle w:val="TableGrid"/>
        <w:tblW w:type="auto" w:w="0"/>
        <w:jc w:val="center"/>
        <w:tblLook w:firstColumn="1" w:firstRow="1" w:lastColumn="0" w:lastRow="0" w:noHBand="0" w:noVBand="1" w:val="04A0"/>
      </w:tblPr>
      <w:tblGrid>
        <w:gridCol w:w="4986"/>
        <w:gridCol w:w="4986"/>
      </w:tblGrid>
      <w:tr>
        <w:tc>
          <w:tcPr>
            <w:tcW w:type="dxa" w:w="2835"/>
            <w:shd w:fill="D9EAF7"/>
            <w:vAlign w:val="center"/>
          </w:tcPr>
          <w:p>
            <w:pPr>
              <w:jc w:val="center"/>
            </w:pPr>
            <w:r>
              <w:rPr>
                <w:rFonts w:ascii="Times New Roman" w:hAnsi="Times New Roman"/>
                <w:b/>
                <w:sz w:val="19"/>
              </w:rPr>
              <w:t>Jejak</w:t>
            </w:r>
          </w:p>
        </w:tc>
        <w:tc>
          <w:tcPr>
            <w:tcW w:type="dxa" w:w="6803"/>
            <w:shd w:fill="D9EAF7"/>
            <w:vAlign w:val="center"/>
          </w:tcPr>
          <w:p>
            <w:pPr>
              <w:jc w:val="center"/>
            </w:pPr>
            <w:r>
              <w:rPr>
                <w:rFonts w:ascii="Times New Roman" w:hAnsi="Times New Roman"/>
                <w:b/>
                <w:sz w:val="19"/>
              </w:rPr>
              <w:t>Pertanyaan</w:t>
            </w:r>
          </w:p>
        </w:tc>
      </w:tr>
      <w:tr>
        <w:tc>
          <w:tcPr>
            <w:tcW w:type="dxa" w:w="2835"/>
            <w:vAlign w:val="top"/>
          </w:tcPr>
          <w:p>
            <w:r>
              <w:rPr>
                <w:rFonts w:ascii="Times New Roman" w:hAnsi="Times New Roman"/>
                <w:sz w:val="19"/>
              </w:rPr>
              <w:t>Follow the Money</w:t>
            </w:r>
          </w:p>
        </w:tc>
        <w:tc>
          <w:tcPr>
            <w:tcW w:type="dxa" w:w="6803"/>
            <w:vAlign w:val="top"/>
          </w:tcPr>
          <w:p>
            <w:r>
              <w:rPr>
                <w:rFonts w:ascii="Times New Roman" w:hAnsi="Times New Roman"/>
                <w:sz w:val="19"/>
              </w:rPr>
              <w:t>Ke mana uang/nilai mengalir?</w:t>
            </w:r>
          </w:p>
        </w:tc>
      </w:tr>
      <w:tr>
        <w:tc>
          <w:tcPr>
            <w:tcW w:type="dxa" w:w="2835"/>
            <w:vAlign w:val="top"/>
          </w:tcPr>
          <w:p>
            <w:r>
              <w:rPr>
                <w:rFonts w:ascii="Times New Roman" w:hAnsi="Times New Roman"/>
                <w:sz w:val="19"/>
              </w:rPr>
              <w:t>Follow the Decision</w:t>
            </w:r>
          </w:p>
        </w:tc>
        <w:tc>
          <w:tcPr>
            <w:tcW w:type="dxa" w:w="6803"/>
            <w:vAlign w:val="top"/>
          </w:tcPr>
          <w:p>
            <w:r>
              <w:rPr>
                <w:rFonts w:ascii="Times New Roman" w:hAnsi="Times New Roman"/>
                <w:sz w:val="19"/>
              </w:rPr>
              <w:t>Siapa mengubah pilihan, syarat, prioritas, atau arah keputusan - dan mengapa?</w:t>
            </w:r>
          </w:p>
        </w:tc>
      </w:tr>
      <w:tr>
        <w:tc>
          <w:tcPr>
            <w:tcW w:type="dxa" w:w="2835"/>
            <w:vAlign w:val="top"/>
          </w:tcPr>
          <w:p>
            <w:r>
              <w:rPr>
                <w:rFonts w:ascii="Times New Roman" w:hAnsi="Times New Roman"/>
                <w:sz w:val="19"/>
              </w:rPr>
              <w:t>Follow the Ownership</w:t>
            </w:r>
          </w:p>
        </w:tc>
        <w:tc>
          <w:tcPr>
            <w:tcW w:type="dxa" w:w="6803"/>
            <w:vAlign w:val="top"/>
          </w:tcPr>
          <w:p>
            <w:r>
              <w:rPr>
                <w:rFonts w:ascii="Times New Roman" w:hAnsi="Times New Roman"/>
                <w:sz w:val="19"/>
              </w:rPr>
              <w:t>Siapa beneficial owner/pengendali/manfaat akhir?</w:t>
            </w:r>
          </w:p>
        </w:tc>
      </w:tr>
      <w:tr>
        <w:tc>
          <w:tcPr>
            <w:tcW w:type="dxa" w:w="2835"/>
            <w:vAlign w:val="top"/>
          </w:tcPr>
          <w:p>
            <w:r>
              <w:rPr>
                <w:rFonts w:ascii="Times New Roman" w:hAnsi="Times New Roman"/>
                <w:sz w:val="19"/>
              </w:rPr>
              <w:t>Follow the Exception</w:t>
            </w:r>
          </w:p>
        </w:tc>
        <w:tc>
          <w:tcPr>
            <w:tcW w:type="dxa" w:w="6803"/>
            <w:vAlign w:val="top"/>
          </w:tcPr>
          <w:p>
            <w:r>
              <w:rPr>
                <w:rFonts w:ascii="Times New Roman" w:hAnsi="Times New Roman"/>
                <w:sz w:val="19"/>
              </w:rPr>
              <w:t>Siapa memperoleh waiver, diskresi, dispensasi, atau perlakuan berbeda?</w:t>
            </w:r>
          </w:p>
        </w:tc>
      </w:tr>
      <w:tr>
        <w:tc>
          <w:tcPr>
            <w:tcW w:type="dxa" w:w="2835"/>
            <w:vAlign w:val="top"/>
          </w:tcPr>
          <w:p>
            <w:r>
              <w:rPr>
                <w:rFonts w:ascii="Times New Roman" w:hAnsi="Times New Roman"/>
                <w:sz w:val="19"/>
              </w:rPr>
              <w:t>Follow the Data</w:t>
            </w:r>
          </w:p>
        </w:tc>
        <w:tc>
          <w:tcPr>
            <w:tcW w:type="dxa" w:w="6803"/>
            <w:vAlign w:val="top"/>
          </w:tcPr>
          <w:p>
            <w:r>
              <w:rPr>
                <w:rFonts w:ascii="Times New Roman" w:hAnsi="Times New Roman"/>
                <w:sz w:val="19"/>
              </w:rPr>
              <w:t>Siapa mengubah data, asumsi, klasifikasi, valuasi, atau akses informasi?</w:t>
            </w:r>
          </w:p>
        </w:tc>
      </w:tr>
    </w:tbl>
    <w:p/>
    <w:p>
      <w:r>
        <w:rPr>
          <w:rFonts w:ascii="Times New Roman" w:hAnsi="Times New Roman"/>
          <w:b/>
          <w:color w:val="1F4E79"/>
          <w:sz w:val="23"/>
        </w:rPr>
        <w:t>Closed-loop fair play</w:t>
        <w:br/>
      </w:r>
      <w:r>
        <w:rPr>
          <w:rFonts w:ascii="Times New Roman" w:hAnsi="Times New Roman"/>
          <w:b/>
          <w:sz w:val="23"/>
        </w:rPr>
        <w:t>PREVENT → DETECT → CONTAIN → INVESTIGATE/ADJUDICATE → RECOVER → REDESIGN → PREVENT AGAIN</w:t>
      </w:r>
    </w:p>
    <w:tbl>
      <w:tblPr>
        <w:tblW w:type="auto" w:w="0"/>
        <w:jc w:val="center"/>
        <w:tblLook w:firstColumn="1" w:firstRow="1" w:lastColumn="0" w:lastRow="0" w:noHBand="0" w:noVBand="1" w:val="04A0"/>
      </w:tblPr>
      <w:tblGrid>
        <w:gridCol w:w="9972"/>
      </w:tblGrid>
      <w:tr>
        <w:tc>
          <w:tcPr>
            <w:tcW w:type="dxa" w:w="9972"/>
            <w:shd w:fill="EAF2F8"/>
          </w:tcPr>
          <w:p>
            <w:r>
              <w:rPr>
                <w:rFonts w:ascii="Times New Roman" w:hAnsi="Times New Roman"/>
                <w:b/>
                <w:color w:val="1F4E79"/>
                <w:sz w:val="23"/>
              </w:rPr>
              <w:t>Safe-harbor analitis</w:t>
              <w:br/>
            </w:r>
            <w:r>
              <w:rPr>
                <w:rFonts w:ascii="Times New Roman" w:hAnsi="Times New Roman"/>
                <w:color w:val="1F1F1F"/>
                <w:sz w:val="22"/>
              </w:rPr>
              <w:t>Outcome buruk tidak otomatis berarti wrongdoing. Penilaian harus membaca kewenangan, proses, informasi yang tersedia saat keputusan, konflik kepentingan, dokumentasi, dan itikad/tujuan yang legitimate sesuai hukum.</w:t>
            </w:r>
          </w:p>
        </w:tc>
      </w:tr>
    </w:tbl>
    <w:p>
      <w:r>
        <w:br w:type="page"/>
      </w:r>
    </w:p>
    <w:p>
      <w:pPr>
        <w:pStyle w:val="Heading1"/>
      </w:pPr>
      <w:r>
        <w:t>11. SOURCE REGISTER DAN UPDATE PROTOCOL</w:t>
      </w:r>
    </w:p>
    <w:p>
      <w:r>
        <w:rPr>
          <w:rFonts w:ascii="Times New Roman" w:hAnsi="Times New Roman"/>
          <w:b w:val="0"/>
          <w:i w:val="0"/>
          <w:color w:val="1F1F1F"/>
        </w:rPr>
        <w:t>Register ini mencatat sumber yang secara eksplisit disebut atau digunakan sebagai basis contoh dalam buku. Saat portal dipublikasikan, setiap entri dapat diberi tautan resmi tanpa mengubah substansi buku.</w:t>
      </w:r>
    </w:p>
    <w:tbl>
      <w:tblPr>
        <w:tblStyle w:val="TableGrid"/>
        <w:tblW w:type="auto" w:w="0"/>
        <w:jc w:val="center"/>
        <w:tblLook w:firstColumn="1" w:firstRow="1" w:lastColumn="0" w:lastRow="0" w:noHBand="0" w:noVBand="1" w:val="04A0"/>
      </w:tblPr>
      <w:tblGrid>
        <w:gridCol w:w="3324"/>
        <w:gridCol w:w="3324"/>
        <w:gridCol w:w="3324"/>
      </w:tblGrid>
      <w:tr>
        <w:tc>
          <w:tcPr>
            <w:tcW w:type="dxa" w:w="1134"/>
            <w:shd w:fill="D9EAF7"/>
            <w:vAlign w:val="center"/>
          </w:tcPr>
          <w:p>
            <w:pPr>
              <w:jc w:val="center"/>
            </w:pPr>
            <w:r>
              <w:rPr>
                <w:rFonts w:ascii="Times New Roman" w:hAnsi="Times New Roman"/>
                <w:b/>
                <w:sz w:val="19"/>
              </w:rPr>
              <w:t>Bab</w:t>
            </w:r>
          </w:p>
        </w:tc>
        <w:tc>
          <w:tcPr>
            <w:tcW w:type="dxa" w:w="6236"/>
            <w:shd w:fill="D9EAF7"/>
            <w:vAlign w:val="center"/>
          </w:tcPr>
          <w:p>
            <w:pPr>
              <w:jc w:val="center"/>
            </w:pPr>
            <w:r>
              <w:rPr>
                <w:rFonts w:ascii="Times New Roman" w:hAnsi="Times New Roman"/>
                <w:b/>
                <w:sz w:val="19"/>
              </w:rPr>
              <w:t>Sumber/keluarga sumber yang disebut dalam buku</w:t>
            </w:r>
          </w:p>
        </w:tc>
        <w:tc>
          <w:tcPr>
            <w:tcW w:type="dxa" w:w="2268"/>
            <w:shd w:fill="D9EAF7"/>
            <w:vAlign w:val="center"/>
          </w:tcPr>
          <w:p>
            <w:pPr>
              <w:jc w:val="center"/>
            </w:pPr>
            <w:r>
              <w:rPr>
                <w:rFonts w:ascii="Times New Roman" w:hAnsi="Times New Roman"/>
                <w:b/>
                <w:sz w:val="19"/>
              </w:rPr>
              <w:t>Status di companion</w:t>
            </w:r>
          </w:p>
        </w:tc>
      </w:tr>
      <w:tr>
        <w:tc>
          <w:tcPr>
            <w:tcW w:type="dxa" w:w="1134"/>
            <w:vAlign w:val="top"/>
          </w:tcPr>
          <w:p>
            <w:r>
              <w:rPr>
                <w:rFonts w:ascii="Times New Roman" w:hAnsi="Times New Roman"/>
                <w:sz w:val="19"/>
              </w:rPr>
              <w:t>I</w:t>
            </w:r>
          </w:p>
        </w:tc>
        <w:tc>
          <w:tcPr>
            <w:tcW w:type="dxa" w:w="6236"/>
            <w:vAlign w:val="top"/>
          </w:tcPr>
          <w:p>
            <w:r>
              <w:rPr>
                <w:rFonts w:ascii="Times New Roman" w:hAnsi="Times New Roman"/>
                <w:sz w:val="19"/>
              </w:rPr>
              <w:t>Nota Keuangan APBN 2025; LKPP 2025 audited; BPK LHP LKPP 2025; Perda DKI 9/2024 dan pertanggungjawaban APBD 2025</w:t>
            </w:r>
          </w:p>
        </w:tc>
        <w:tc>
          <w:tcPr>
            <w:tcW w:type="dxa" w:w="2268"/>
            <w:vAlign w:val="top"/>
          </w:tcPr>
          <w:p>
            <w:r>
              <w:rPr>
                <w:rFonts w:ascii="Times New Roman" w:hAnsi="Times New Roman"/>
                <w:sz w:val="19"/>
              </w:rPr>
              <w:t>PUBLIC OFFICIAL</w:t>
            </w:r>
          </w:p>
        </w:tc>
      </w:tr>
      <w:tr>
        <w:tc>
          <w:tcPr>
            <w:tcW w:type="dxa" w:w="1134"/>
            <w:vAlign w:val="top"/>
          </w:tcPr>
          <w:p>
            <w:r>
              <w:rPr>
                <w:rFonts w:ascii="Times New Roman" w:hAnsi="Times New Roman"/>
                <w:sz w:val="19"/>
              </w:rPr>
              <w:t>II</w:t>
            </w:r>
          </w:p>
        </w:tc>
        <w:tc>
          <w:tcPr>
            <w:tcW w:type="dxa" w:w="6236"/>
            <w:vAlign w:val="top"/>
          </w:tcPr>
          <w:p>
            <w:r>
              <w:rPr>
                <w:rFonts w:ascii="Times New Roman" w:hAnsi="Times New Roman"/>
                <w:sz w:val="19"/>
              </w:rPr>
              <w:t>Kerangka Public Value dalam buku; baseline, counterfactual, attribution, distribution</w:t>
            </w:r>
          </w:p>
        </w:tc>
        <w:tc>
          <w:tcPr>
            <w:tcW w:type="dxa" w:w="2268"/>
            <w:vAlign w:val="top"/>
          </w:tcPr>
          <w:p>
            <w:r>
              <w:rPr>
                <w:rFonts w:ascii="Times New Roman" w:hAnsi="Times New Roman"/>
                <w:sz w:val="19"/>
              </w:rPr>
              <w:t>FRAMEWORK</w:t>
            </w:r>
          </w:p>
        </w:tc>
      </w:tr>
      <w:tr>
        <w:tc>
          <w:tcPr>
            <w:tcW w:type="dxa" w:w="1134"/>
            <w:vAlign w:val="top"/>
          </w:tcPr>
          <w:p>
            <w:r>
              <w:rPr>
                <w:rFonts w:ascii="Times New Roman" w:hAnsi="Times New Roman"/>
                <w:sz w:val="19"/>
              </w:rPr>
              <w:t>III</w:t>
            </w:r>
          </w:p>
        </w:tc>
        <w:tc>
          <w:tcPr>
            <w:tcW w:type="dxa" w:w="6236"/>
            <w:vAlign w:val="top"/>
          </w:tcPr>
          <w:p>
            <w:r>
              <w:rPr>
                <w:rFonts w:ascii="Times New Roman" w:hAnsi="Times New Roman"/>
                <w:sz w:val="19"/>
              </w:rPr>
              <w:t>UU HKPD/PP 35/2023; regulasi PPh/PPN/cukai yang disebut dalam buku; data penerimaan; RCR/TBHI sebagai pilot</w:t>
            </w:r>
          </w:p>
        </w:tc>
        <w:tc>
          <w:tcPr>
            <w:tcW w:type="dxa" w:w="2268"/>
            <w:vAlign w:val="top"/>
          </w:tcPr>
          <w:p>
            <w:r>
              <w:rPr>
                <w:rFonts w:ascii="Times New Roman" w:hAnsi="Times New Roman"/>
                <w:sz w:val="19"/>
              </w:rPr>
              <w:t>PUBLIC + FRAMEWORK</w:t>
            </w:r>
          </w:p>
        </w:tc>
      </w:tr>
      <w:tr>
        <w:tc>
          <w:tcPr>
            <w:tcW w:type="dxa" w:w="1134"/>
            <w:vAlign w:val="top"/>
          </w:tcPr>
          <w:p>
            <w:r>
              <w:rPr>
                <w:rFonts w:ascii="Times New Roman" w:hAnsi="Times New Roman"/>
                <w:sz w:val="19"/>
              </w:rPr>
              <w:t>IV</w:t>
            </w:r>
          </w:p>
        </w:tc>
        <w:tc>
          <w:tcPr>
            <w:tcW w:type="dxa" w:w="6236"/>
            <w:vAlign w:val="top"/>
          </w:tcPr>
          <w:p>
            <w:r>
              <w:rPr>
                <w:rFonts w:ascii="Times New Roman" w:hAnsi="Times New Roman"/>
                <w:sz w:val="19"/>
              </w:rPr>
              <w:t>BPS Sisnerling 2020-2024; publikasi/kinerja ESDM yang disebut; regulasi PNBP/SDA yang dirujuk</w:t>
            </w:r>
          </w:p>
        </w:tc>
        <w:tc>
          <w:tcPr>
            <w:tcW w:type="dxa" w:w="2268"/>
            <w:vAlign w:val="top"/>
          </w:tcPr>
          <w:p>
            <w:r>
              <w:rPr>
                <w:rFonts w:ascii="Times New Roman" w:hAnsi="Times New Roman"/>
                <w:sz w:val="19"/>
              </w:rPr>
              <w:t>PUBLIC OFFICIAL + SIMULATION</w:t>
            </w:r>
          </w:p>
        </w:tc>
      </w:tr>
      <w:tr>
        <w:tc>
          <w:tcPr>
            <w:tcW w:type="dxa" w:w="1134"/>
            <w:vAlign w:val="top"/>
          </w:tcPr>
          <w:p>
            <w:r>
              <w:rPr>
                <w:rFonts w:ascii="Times New Roman" w:hAnsi="Times New Roman"/>
                <w:sz w:val="19"/>
              </w:rPr>
              <w:t>V</w:t>
            </w:r>
          </w:p>
        </w:tc>
        <w:tc>
          <w:tcPr>
            <w:tcW w:type="dxa" w:w="6236"/>
            <w:vAlign w:val="top"/>
          </w:tcPr>
          <w:p>
            <w:r>
              <w:rPr>
                <w:rFonts w:ascii="Times New Roman" w:hAnsi="Times New Roman"/>
                <w:sz w:val="19"/>
              </w:rPr>
              <w:t>BPS Sisnerling; SAP/PSAP; pembanding IPSAS/IMF yang disebut</w:t>
            </w:r>
          </w:p>
        </w:tc>
        <w:tc>
          <w:tcPr>
            <w:tcW w:type="dxa" w:w="2268"/>
            <w:vAlign w:val="top"/>
          </w:tcPr>
          <w:p>
            <w:r>
              <w:rPr>
                <w:rFonts w:ascii="Times New Roman" w:hAnsi="Times New Roman"/>
                <w:sz w:val="19"/>
              </w:rPr>
              <w:t>PUBLIC + FRAMEWORK</w:t>
            </w:r>
          </w:p>
        </w:tc>
      </w:tr>
      <w:tr>
        <w:tc>
          <w:tcPr>
            <w:tcW w:type="dxa" w:w="1134"/>
            <w:vAlign w:val="top"/>
          </w:tcPr>
          <w:p>
            <w:r>
              <w:rPr>
                <w:rFonts w:ascii="Times New Roman" w:hAnsi="Times New Roman"/>
                <w:sz w:val="19"/>
              </w:rPr>
              <w:t>VI</w:t>
            </w:r>
          </w:p>
        </w:tc>
        <w:tc>
          <w:tcPr>
            <w:tcW w:type="dxa" w:w="6236"/>
            <w:vAlign w:val="top"/>
          </w:tcPr>
          <w:p>
            <w:r>
              <w:rPr>
                <w:rFonts w:ascii="Times New Roman" w:hAnsi="Times New Roman"/>
                <w:sz w:val="19"/>
              </w:rPr>
              <w:t>APBN 2027 sebagai ilustrasi dalam buku; PIMA/kerangka investasi publik; data utang/pembiayaan yang disebut</w:t>
            </w:r>
          </w:p>
        </w:tc>
        <w:tc>
          <w:tcPr>
            <w:tcW w:type="dxa" w:w="2268"/>
            <w:vAlign w:val="top"/>
          </w:tcPr>
          <w:p>
            <w:r>
              <w:rPr>
                <w:rFonts w:ascii="Times New Roman" w:hAnsi="Times New Roman"/>
                <w:sz w:val="19"/>
              </w:rPr>
              <w:t>PUBLIC + FRAMEWORK</w:t>
            </w:r>
          </w:p>
        </w:tc>
      </w:tr>
      <w:tr>
        <w:tc>
          <w:tcPr>
            <w:tcW w:type="dxa" w:w="1134"/>
            <w:vAlign w:val="top"/>
          </w:tcPr>
          <w:p>
            <w:r>
              <w:rPr>
                <w:rFonts w:ascii="Times New Roman" w:hAnsi="Times New Roman"/>
                <w:sz w:val="19"/>
              </w:rPr>
              <w:t>VII</w:t>
            </w:r>
          </w:p>
        </w:tc>
        <w:tc>
          <w:tcPr>
            <w:tcW w:type="dxa" w:w="6236"/>
            <w:vAlign w:val="top"/>
          </w:tcPr>
          <w:p>
            <w:r>
              <w:rPr>
                <w:rFonts w:ascii="Times New Roman" w:hAnsi="Times New Roman"/>
                <w:sz w:val="19"/>
              </w:rPr>
              <w:t>Regulasi/konsep PMN, pinjaman, subsidi, BUMD; contoh Lembaga Pembiayaan A</w:t>
            </w:r>
          </w:p>
        </w:tc>
        <w:tc>
          <w:tcPr>
            <w:tcW w:type="dxa" w:w="2268"/>
            <w:vAlign w:val="top"/>
          </w:tcPr>
          <w:p>
            <w:r>
              <w:rPr>
                <w:rFonts w:ascii="Times New Roman" w:hAnsi="Times New Roman"/>
                <w:sz w:val="19"/>
              </w:rPr>
              <w:t>PUBLIC + ILLUSTRATIVE</w:t>
            </w:r>
          </w:p>
        </w:tc>
      </w:tr>
      <w:tr>
        <w:tc>
          <w:tcPr>
            <w:tcW w:type="dxa" w:w="1134"/>
            <w:vAlign w:val="top"/>
          </w:tcPr>
          <w:p>
            <w:r>
              <w:rPr>
                <w:rFonts w:ascii="Times New Roman" w:hAnsi="Times New Roman"/>
                <w:sz w:val="19"/>
              </w:rPr>
              <w:t>VIII</w:t>
            </w:r>
          </w:p>
        </w:tc>
        <w:tc>
          <w:tcPr>
            <w:tcW w:type="dxa" w:w="6236"/>
            <w:vAlign w:val="top"/>
          </w:tcPr>
          <w:p>
            <w:r>
              <w:rPr>
                <w:rFonts w:ascii="Times New Roman" w:hAnsi="Times New Roman"/>
                <w:sz w:val="19"/>
              </w:rPr>
              <w:t>Metodologi CCC/kolektabilitas; KUR dan contoh ilustratif dana bergulir/Lembaga Pembiayaan A</w:t>
            </w:r>
          </w:p>
        </w:tc>
        <w:tc>
          <w:tcPr>
            <w:tcW w:type="dxa" w:w="2268"/>
            <w:vAlign w:val="top"/>
          </w:tcPr>
          <w:p>
            <w:r>
              <w:rPr>
                <w:rFonts w:ascii="Times New Roman" w:hAnsi="Times New Roman"/>
                <w:sz w:val="19"/>
              </w:rPr>
              <w:t>PUBLIC + ILLUSTRATIVE</w:t>
            </w:r>
          </w:p>
        </w:tc>
      </w:tr>
      <w:tr>
        <w:tc>
          <w:tcPr>
            <w:tcW w:type="dxa" w:w="1134"/>
            <w:vAlign w:val="top"/>
          </w:tcPr>
          <w:p>
            <w:r>
              <w:rPr>
                <w:rFonts w:ascii="Times New Roman" w:hAnsi="Times New Roman"/>
                <w:sz w:val="19"/>
              </w:rPr>
              <w:t>IX</w:t>
            </w:r>
          </w:p>
        </w:tc>
        <w:tc>
          <w:tcPr>
            <w:tcW w:type="dxa" w:w="6236"/>
            <w:vAlign w:val="top"/>
          </w:tcPr>
          <w:p>
            <w:r>
              <w:rPr>
                <w:rFonts w:ascii="Times New Roman" w:hAnsi="Times New Roman"/>
                <w:sz w:val="19"/>
              </w:rPr>
              <w:t>Regulasi pengadaan, BO, dan pemberian hak SDA yang disebut; FRA/SRV/PWAR</w:t>
            </w:r>
          </w:p>
        </w:tc>
        <w:tc>
          <w:tcPr>
            <w:tcW w:type="dxa" w:w="2268"/>
            <w:vAlign w:val="top"/>
          </w:tcPr>
          <w:p>
            <w:r>
              <w:rPr>
                <w:rFonts w:ascii="Times New Roman" w:hAnsi="Times New Roman"/>
                <w:sz w:val="19"/>
              </w:rPr>
              <w:t>PUBLIC + FRAMEWORK</w:t>
            </w:r>
          </w:p>
        </w:tc>
      </w:tr>
      <w:tr>
        <w:tc>
          <w:tcPr>
            <w:tcW w:type="dxa" w:w="1134"/>
            <w:vAlign w:val="top"/>
          </w:tcPr>
          <w:p>
            <w:r>
              <w:rPr>
                <w:rFonts w:ascii="Times New Roman" w:hAnsi="Times New Roman"/>
                <w:sz w:val="19"/>
              </w:rPr>
              <w:t>X</w:t>
            </w:r>
          </w:p>
        </w:tc>
        <w:tc>
          <w:tcPr>
            <w:tcW w:type="dxa" w:w="6236"/>
            <w:vAlign w:val="top"/>
          </w:tcPr>
          <w:p>
            <w:r>
              <w:rPr>
                <w:rFonts w:ascii="Times New Roman" w:hAnsi="Times New Roman"/>
                <w:sz w:val="19"/>
              </w:rPr>
              <w:t>KUHP/UU penyesuaian pidana dan ketentuan antikorupsi yang disebut; Public Value Loss dan fair-play architecture</w:t>
            </w:r>
          </w:p>
        </w:tc>
        <w:tc>
          <w:tcPr>
            <w:tcW w:type="dxa" w:w="2268"/>
            <w:vAlign w:val="top"/>
          </w:tcPr>
          <w:p>
            <w:r>
              <w:rPr>
                <w:rFonts w:ascii="Times New Roman" w:hAnsi="Times New Roman"/>
                <w:sz w:val="19"/>
              </w:rPr>
              <w:t>PUBLIC + FRAMEWORK</w:t>
            </w:r>
          </w:p>
        </w:tc>
      </w:tr>
    </w:tbl>
    <w:p/>
    <w:p>
      <w:pPr>
        <w:pStyle w:val="Heading2"/>
      </w:pPr>
      <w:r>
        <w:t>Update Log</w:t>
      </w:r>
    </w:p>
    <w:tbl>
      <w:tblPr>
        <w:tblStyle w:val="TableGrid"/>
        <w:tblW w:type="auto" w:w="0"/>
        <w:jc w:val="center"/>
        <w:tblLook w:firstColumn="1" w:firstRow="1" w:lastColumn="0" w:lastRow="0" w:noHBand="0" w:noVBand="1" w:val="04A0"/>
      </w:tblPr>
      <w:tblGrid>
        <w:gridCol w:w="1662"/>
        <w:gridCol w:w="1662"/>
        <w:gridCol w:w="1662"/>
        <w:gridCol w:w="1662"/>
        <w:gridCol w:w="1662"/>
        <w:gridCol w:w="1662"/>
      </w:tblGrid>
      <w:tr>
        <w:tc>
          <w:tcPr>
            <w:tcW w:type="dxa" w:w="1701"/>
            <w:shd w:fill="D9EAF7"/>
            <w:vAlign w:val="center"/>
          </w:tcPr>
          <w:p>
            <w:pPr>
              <w:jc w:val="center"/>
            </w:pPr>
            <w:r>
              <w:rPr>
                <w:rFonts w:ascii="Times New Roman" w:hAnsi="Times New Roman"/>
                <w:b/>
                <w:sz w:val="19"/>
              </w:rPr>
              <w:t>Tanggal</w:t>
            </w:r>
          </w:p>
        </w:tc>
        <w:tc>
          <w:tcPr>
            <w:tcW w:type="dxa" w:w="1701"/>
            <w:shd w:fill="D9EAF7"/>
            <w:vAlign w:val="center"/>
          </w:tcPr>
          <w:p>
            <w:pPr>
              <w:jc w:val="center"/>
            </w:pPr>
            <w:r>
              <w:rPr>
                <w:rFonts w:ascii="Times New Roman" w:hAnsi="Times New Roman"/>
                <w:b/>
                <w:sz w:val="19"/>
              </w:rPr>
              <w:t>Bab/Item</w:t>
            </w:r>
          </w:p>
        </w:tc>
        <w:tc>
          <w:tcPr>
            <w:tcW w:type="dxa" w:w="2268"/>
            <w:shd w:fill="D9EAF7"/>
            <w:vAlign w:val="center"/>
          </w:tcPr>
          <w:p>
            <w:pPr>
              <w:jc w:val="center"/>
            </w:pPr>
            <w:r>
              <w:rPr>
                <w:rFonts w:ascii="Times New Roman" w:hAnsi="Times New Roman"/>
                <w:b/>
                <w:sz w:val="19"/>
              </w:rPr>
              <w:t>Jenis perubahan</w:t>
            </w:r>
          </w:p>
        </w:tc>
        <w:tc>
          <w:tcPr>
            <w:tcW w:type="dxa" w:w="2835"/>
            <w:shd w:fill="D9EAF7"/>
            <w:vAlign w:val="center"/>
          </w:tcPr>
          <w:p>
            <w:pPr>
              <w:jc w:val="center"/>
            </w:pPr>
            <w:r>
              <w:rPr>
                <w:rFonts w:ascii="Times New Roman" w:hAnsi="Times New Roman"/>
                <w:b/>
                <w:sz w:val="19"/>
              </w:rPr>
              <w:t>Sumber baru</w:t>
            </w:r>
          </w:p>
        </w:tc>
        <w:tc>
          <w:tcPr>
            <w:tcW w:type="dxa" w:w="1701"/>
            <w:shd w:fill="D9EAF7"/>
            <w:vAlign w:val="center"/>
          </w:tcPr>
          <w:p>
            <w:pPr>
              <w:jc w:val="center"/>
            </w:pPr>
            <w:r>
              <w:rPr>
                <w:rFonts w:ascii="Times New Roman" w:hAnsi="Times New Roman"/>
                <w:b/>
                <w:sz w:val="19"/>
              </w:rPr>
              <w:t>Dampak ke buku?</w:t>
            </w:r>
          </w:p>
        </w:tc>
        <w:tc>
          <w:tcPr>
            <w:tcW w:type="dxa" w:w="1701"/>
            <w:shd w:fill="D9EAF7"/>
            <w:vAlign w:val="center"/>
          </w:tcPr>
          <w:p>
            <w:pPr>
              <w:jc w:val="center"/>
            </w:pPr>
            <w:r>
              <w:rPr>
                <w:rFonts w:ascii="Times New Roman" w:hAnsi="Times New Roman"/>
                <w:b/>
                <w:sz w:val="19"/>
              </w:rPr>
              <w:t>Reviewer</w:t>
            </w:r>
          </w:p>
        </w:tc>
      </w:tr>
      <w:tr>
        <w:tc>
          <w:tcPr>
            <w:tcW w:type="dxa" w:w="1701"/>
            <w:vAlign w:val="top"/>
          </w:tcPr>
          <w:p>
            <w:r>
              <w:rPr>
                <w:rFonts w:ascii="Times New Roman" w:hAnsi="Times New Roman"/>
                <w:sz w:val="19"/>
              </w:rPr>
            </w:r>
          </w:p>
        </w:tc>
        <w:tc>
          <w:tcPr>
            <w:tcW w:type="dxa" w:w="1701"/>
            <w:vAlign w:val="top"/>
          </w:tcPr>
          <w:p>
            <w:r>
              <w:rPr>
                <w:rFonts w:ascii="Times New Roman" w:hAnsi="Times New Roman"/>
                <w:sz w:val="19"/>
              </w:rPr>
            </w:r>
          </w:p>
        </w:tc>
        <w:tc>
          <w:tcPr>
            <w:tcW w:type="dxa" w:w="2268"/>
            <w:vAlign w:val="top"/>
          </w:tcPr>
          <w:p>
            <w:r>
              <w:rPr>
                <w:rFonts w:ascii="Times New Roman" w:hAnsi="Times New Roman"/>
                <w:sz w:val="19"/>
              </w:rPr>
            </w:r>
          </w:p>
        </w:tc>
        <w:tc>
          <w:tcPr>
            <w:tcW w:type="dxa" w:w="2835"/>
            <w:vAlign w:val="top"/>
          </w:tcPr>
          <w:p>
            <w:r>
              <w:rPr>
                <w:rFonts w:ascii="Times New Roman" w:hAnsi="Times New Roman"/>
                <w:sz w:val="19"/>
              </w:rPr>
            </w:r>
          </w:p>
        </w:tc>
        <w:tc>
          <w:tcPr>
            <w:tcW w:type="dxa" w:w="1701"/>
            <w:vAlign w:val="top"/>
          </w:tcPr>
          <w:p>
            <w:r>
              <w:rPr>
                <w:rFonts w:ascii="Times New Roman" w:hAnsi="Times New Roman"/>
                <w:sz w:val="19"/>
              </w:rPr>
            </w:r>
          </w:p>
        </w:tc>
        <w:tc>
          <w:tcPr>
            <w:tcW w:type="dxa" w:w="1701"/>
            <w:vAlign w:val="top"/>
          </w:tcPr>
          <w:p>
            <w:r>
              <w:rPr>
                <w:rFonts w:ascii="Times New Roman" w:hAnsi="Times New Roman"/>
                <w:sz w:val="19"/>
              </w:rPr>
            </w:r>
          </w:p>
        </w:tc>
      </w:tr>
      <w:tr>
        <w:tc>
          <w:tcPr>
            <w:tcW w:type="dxa" w:w="1701"/>
            <w:vAlign w:val="top"/>
          </w:tcPr>
          <w:p>
            <w:r>
              <w:rPr>
                <w:rFonts w:ascii="Times New Roman" w:hAnsi="Times New Roman"/>
                <w:sz w:val="19"/>
              </w:rPr>
            </w:r>
          </w:p>
        </w:tc>
        <w:tc>
          <w:tcPr>
            <w:tcW w:type="dxa" w:w="1701"/>
            <w:vAlign w:val="top"/>
          </w:tcPr>
          <w:p>
            <w:r>
              <w:rPr>
                <w:rFonts w:ascii="Times New Roman" w:hAnsi="Times New Roman"/>
                <w:sz w:val="19"/>
              </w:rPr>
            </w:r>
          </w:p>
        </w:tc>
        <w:tc>
          <w:tcPr>
            <w:tcW w:type="dxa" w:w="2268"/>
            <w:vAlign w:val="top"/>
          </w:tcPr>
          <w:p>
            <w:r>
              <w:rPr>
                <w:rFonts w:ascii="Times New Roman" w:hAnsi="Times New Roman"/>
                <w:sz w:val="19"/>
              </w:rPr>
            </w:r>
          </w:p>
        </w:tc>
        <w:tc>
          <w:tcPr>
            <w:tcW w:type="dxa" w:w="2835"/>
            <w:vAlign w:val="top"/>
          </w:tcPr>
          <w:p>
            <w:r>
              <w:rPr>
                <w:rFonts w:ascii="Times New Roman" w:hAnsi="Times New Roman"/>
                <w:sz w:val="19"/>
              </w:rPr>
            </w:r>
          </w:p>
        </w:tc>
        <w:tc>
          <w:tcPr>
            <w:tcW w:type="dxa" w:w="1701"/>
            <w:vAlign w:val="top"/>
          </w:tcPr>
          <w:p>
            <w:r>
              <w:rPr>
                <w:rFonts w:ascii="Times New Roman" w:hAnsi="Times New Roman"/>
                <w:sz w:val="19"/>
              </w:rPr>
            </w:r>
          </w:p>
        </w:tc>
        <w:tc>
          <w:tcPr>
            <w:tcW w:type="dxa" w:w="1701"/>
            <w:vAlign w:val="top"/>
          </w:tcPr>
          <w:p>
            <w:r>
              <w:rPr>
                <w:rFonts w:ascii="Times New Roman" w:hAnsi="Times New Roman"/>
                <w:sz w:val="19"/>
              </w:rPr>
            </w:r>
          </w:p>
        </w:tc>
      </w:tr>
      <w:tr>
        <w:tc>
          <w:tcPr>
            <w:tcW w:type="dxa" w:w="1701"/>
            <w:vAlign w:val="top"/>
          </w:tcPr>
          <w:p>
            <w:r>
              <w:rPr>
                <w:rFonts w:ascii="Times New Roman" w:hAnsi="Times New Roman"/>
                <w:sz w:val="19"/>
              </w:rPr>
            </w:r>
          </w:p>
        </w:tc>
        <w:tc>
          <w:tcPr>
            <w:tcW w:type="dxa" w:w="1701"/>
            <w:vAlign w:val="top"/>
          </w:tcPr>
          <w:p>
            <w:r>
              <w:rPr>
                <w:rFonts w:ascii="Times New Roman" w:hAnsi="Times New Roman"/>
                <w:sz w:val="19"/>
              </w:rPr>
            </w:r>
          </w:p>
        </w:tc>
        <w:tc>
          <w:tcPr>
            <w:tcW w:type="dxa" w:w="2268"/>
            <w:vAlign w:val="top"/>
          </w:tcPr>
          <w:p>
            <w:r>
              <w:rPr>
                <w:rFonts w:ascii="Times New Roman" w:hAnsi="Times New Roman"/>
                <w:sz w:val="19"/>
              </w:rPr>
            </w:r>
          </w:p>
        </w:tc>
        <w:tc>
          <w:tcPr>
            <w:tcW w:type="dxa" w:w="2835"/>
            <w:vAlign w:val="top"/>
          </w:tcPr>
          <w:p>
            <w:r>
              <w:rPr>
                <w:rFonts w:ascii="Times New Roman" w:hAnsi="Times New Roman"/>
                <w:sz w:val="19"/>
              </w:rPr>
            </w:r>
          </w:p>
        </w:tc>
        <w:tc>
          <w:tcPr>
            <w:tcW w:type="dxa" w:w="1701"/>
            <w:vAlign w:val="top"/>
          </w:tcPr>
          <w:p>
            <w:r>
              <w:rPr>
                <w:rFonts w:ascii="Times New Roman" w:hAnsi="Times New Roman"/>
                <w:sz w:val="19"/>
              </w:rPr>
            </w:r>
          </w:p>
        </w:tc>
        <w:tc>
          <w:tcPr>
            <w:tcW w:type="dxa" w:w="1701"/>
            <w:vAlign w:val="top"/>
          </w:tcPr>
          <w:p>
            <w:r>
              <w:rPr>
                <w:rFonts w:ascii="Times New Roman" w:hAnsi="Times New Roman"/>
                <w:sz w:val="19"/>
              </w:rPr>
            </w:r>
          </w:p>
        </w:tc>
      </w:tr>
    </w:tbl>
    <w:p/>
    <w:tbl>
      <w:tblPr>
        <w:tblW w:type="auto" w:w="0"/>
        <w:jc w:val="center"/>
        <w:tblLook w:firstColumn="1" w:firstRow="1" w:lastColumn="0" w:lastRow="0" w:noHBand="0" w:noVBand="1" w:val="04A0"/>
      </w:tblPr>
      <w:tblGrid>
        <w:gridCol w:w="9972"/>
      </w:tblGrid>
      <w:tr>
        <w:tc>
          <w:tcPr>
            <w:tcW w:type="dxa" w:w="9972"/>
            <w:shd w:fill="EAF2F8"/>
          </w:tcPr>
          <w:p>
            <w:r>
              <w:rPr>
                <w:rFonts w:ascii="Times New Roman" w:hAnsi="Times New Roman"/>
                <w:b/>
                <w:color w:val="1F4E79"/>
                <w:sz w:val="23"/>
              </w:rPr>
              <w:t>Aturan update</w:t>
              <w:br/>
            </w:r>
            <w:r>
              <w:rPr>
                <w:rFonts w:ascii="Times New Roman" w:hAnsi="Times New Roman"/>
                <w:color w:val="1F1F1F"/>
                <w:sz w:val="22"/>
              </w:rPr>
              <w:t>Data/regulasi boleh diperbarui di Digital Companion tanpa menunggu edisi cetak. Jika pembaruan mengubah tesis, formula, atau kesimpulan utama buku, perubahan tersebut tidak boleh dilakukan diam-diam; harus dicatat sebagai revision note untuk edisi berikutnya.</w:t>
            </w:r>
          </w:p>
        </w:tc>
      </w:tr>
    </w:tbl>
    <w:p>
      <w:r>
        <w:br w:type="page"/>
      </w:r>
    </w:p>
    <w:p>
      <w:pPr>
        <w:jc w:val="center"/>
      </w:pPr>
      <w:r>
        <w:rPr>
          <w:rFonts w:ascii="Times New Roman" w:hAnsi="Times New Roman"/>
          <w:b/>
          <w:color w:val="1F4E79"/>
          <w:sz w:val="32"/>
        </w:rPr>
        <w:t>DIGITAL COMPANION V3 FINAL CONTENT MASTER</w:t>
      </w:r>
    </w:p>
    <w:p>
      <w:pPr>
        <w:jc w:val="center"/>
      </w:pPr>
      <w:r>
        <w:rPr>
          <w:rFonts w:ascii="Times New Roman" w:hAnsi="Times New Roman"/>
          <w:color w:val="606060"/>
          <w:sz w:val="22"/>
        </w:rPr>
        <w:t>Selaras dengan Buku Final 7 Oktober 2026</w:t>
      </w:r>
    </w:p>
    <w:p>
      <w:pPr>
        <w:jc w:val="center"/>
      </w:pPr>
      <w:r>
        <w:rPr>
          <w:rFonts w:ascii="Times New Roman" w:hAnsi="Times New Roman"/>
          <w:b/>
          <w:color w:val="A67C00"/>
          <w:sz w:val="26"/>
        </w:rPr>
        <w:t>Read → Explore → Use</w:t>
      </w:r>
    </w:p>
    <w:p>
      <w:pPr>
        <w:sectPr>
          <w:footerReference w:type="default" r:id="rId9"/>
          <w:pgSz w:w="12240" w:h="15840"/>
          <w:pgMar w:top="1020" w:right="1134" w:bottom="1020" w:left="1134" w:header="720" w:footer="720" w:gutter="0"/>
          <w:cols w:space="720"/>
          <w:docGrid w:linePitch="360"/>
        </w:sectPr>
      </w:pPr>
    </w:p>
    <w:p>
      <w:pPr>
        <w:jc w:val="center"/>
      </w:pPr>
      <w:r>
        <w:rPr>
          <w:rFonts w:ascii="Times New Roman" w:hAnsi="Times New Roman"/>
          <w:b/>
          <w:color w:val="1F4E79"/>
          <w:sz w:val="34"/>
        </w:rPr>
        <w:t>REFERENSI PRIMER, REGULASI, DAN SOURCE MAP - V3 FINAL</w:t>
      </w:r>
    </w:p>
    <w:p>
      <w:r>
        <w:rPr>
          <w:rFonts w:ascii="Times New Roman" w:hAnsi="Times New Roman"/>
          <w:i/>
          <w:color w:val="606060"/>
          <w:sz w:val="20"/>
        </w:rPr>
        <w:t>Cut-off verifikasi: 7 Oktober 2026. Bagian ini menjadi lapisan sumber untuk Digital Companion dan mengikuti prinsip anonimisasi buku final.</w:t>
      </w:r>
    </w:p>
    <w:tbl>
      <w:tblPr>
        <w:tblStyle w:val="TableGrid"/>
        <w:tblW w:type="auto" w:w="0"/>
        <w:tblLook w:firstColumn="1" w:firstRow="1" w:lastColumn="0" w:lastRow="0" w:noHBand="0" w:noVBand="1" w:val="04A0"/>
      </w:tblPr>
      <w:tblGrid>
        <w:gridCol w:w="15478"/>
      </w:tblGrid>
      <w:tr>
        <w:tc>
          <w:tcPr>
            <w:tcW w:type="dxa" w:w="15478"/>
            <w:shd w:fill="EAF2F8"/>
          </w:tcPr>
          <w:p>
            <w:r>
              <w:rPr>
                <w:rFonts w:ascii="Times New Roman" w:hAnsi="Times New Roman"/>
                <w:b/>
                <w:color w:val="1F4E79"/>
                <w:sz w:val="22"/>
              </w:rPr>
              <w:t>Arsitektur sumber</w:t>
              <w:br/>
            </w:r>
            <w:r>
              <w:rPr>
                <w:rFonts w:ascii="Times New Roman" w:hAnsi="Times New Roman"/>
                <w:sz w:val="21"/>
              </w:rPr>
              <w:t>PUBLIC OFFICIAL / REGULASI PRIMER = data atau hukum resmi; REFERENSI KONSEPTUAL PRIMER = karya/standar yang dirujuk; KERANGKA PENULIS = kontribusi analitis buku; ILUSTRATIF = angka/nama telah dimodifikasi. Untuk Bab VII-VIII, Digital Companion tidak menyimpan atau mengembalikan identitas maupun angka asli dari kasus yang dianonimkan.</w:t>
            </w:r>
          </w:p>
        </w:tc>
      </w:tr>
    </w:tbl>
    <w:p/>
    <w:p>
      <w:pPr>
        <w:pStyle w:val="Heading1"/>
      </w:pPr>
      <w:r>
        <w:t>BAB I - Membaca Uang Negara</w:t>
      </w:r>
    </w:p>
    <w:tbl>
      <w:tblPr>
        <w:tblStyle w:val="TableGrid"/>
        <w:tblW w:type="auto" w:w="0"/>
        <w:jc w:val="center"/>
        <w:tblLook w:firstColumn="1" w:firstRow="1" w:lastColumn="0" w:lastRow="0" w:noHBand="0" w:noVBand="1" w:val="04A0"/>
      </w:tblPr>
      <w:tblGrid>
        <w:gridCol w:w="1935"/>
        <w:gridCol w:w="1935"/>
        <w:gridCol w:w="1935"/>
        <w:gridCol w:w="1935"/>
        <w:gridCol w:w="1935"/>
        <w:gridCol w:w="1935"/>
        <w:gridCol w:w="1935"/>
        <w:gridCol w:w="1935"/>
      </w:tblGrid>
      <w:tr>
        <w:tc>
          <w:tcPr>
            <w:tcW w:type="dxa" w:w="964"/>
            <w:shd w:fill="D9EAF7"/>
            <w:vAlign w:val="center"/>
          </w:tcPr>
          <w:p>
            <w:pPr>
              <w:jc w:val="center"/>
            </w:pPr>
            <w:r>
              <w:rPr>
                <w:rFonts w:ascii="Times New Roman" w:hAnsi="Times New Roman"/>
                <w:b/>
                <w:sz w:val="15"/>
              </w:rPr>
              <w:t>Kode</w:t>
            </w:r>
          </w:p>
        </w:tc>
        <w:tc>
          <w:tcPr>
            <w:tcW w:type="dxa" w:w="2494"/>
            <w:shd w:fill="D9EAF7"/>
            <w:vAlign w:val="center"/>
          </w:tcPr>
          <w:p>
            <w:pPr>
              <w:jc w:val="center"/>
            </w:pPr>
            <w:r>
              <w:rPr>
                <w:rFonts w:ascii="Times New Roman" w:hAnsi="Times New Roman"/>
                <w:b/>
                <w:sz w:val="15"/>
              </w:rPr>
              <w:t>Topik/Klaim</w:t>
            </w:r>
          </w:p>
        </w:tc>
        <w:tc>
          <w:tcPr>
            <w:tcW w:type="dxa" w:w="3969"/>
            <w:shd w:fill="D9EAF7"/>
            <w:vAlign w:val="center"/>
          </w:tcPr>
          <w:p>
            <w:pPr>
              <w:jc w:val="center"/>
            </w:pPr>
            <w:r>
              <w:rPr>
                <w:rFonts w:ascii="Times New Roman" w:hAnsi="Times New Roman"/>
                <w:b/>
                <w:sz w:val="15"/>
              </w:rPr>
              <w:t>Sumber primer/dokumen</w:t>
            </w:r>
          </w:p>
        </w:tc>
        <w:tc>
          <w:tcPr>
            <w:tcW w:type="dxa" w:w="1814"/>
            <w:shd w:fill="D9EAF7"/>
            <w:vAlign w:val="center"/>
          </w:tcPr>
          <w:p>
            <w:pPr>
              <w:jc w:val="center"/>
            </w:pPr>
            <w:r>
              <w:rPr>
                <w:rFonts w:ascii="Times New Roman" w:hAnsi="Times New Roman"/>
                <w:b/>
                <w:sz w:val="15"/>
              </w:rPr>
              <w:t>Jenis</w:t>
            </w:r>
          </w:p>
        </w:tc>
        <w:tc>
          <w:tcPr>
            <w:tcW w:type="dxa" w:w="1247"/>
            <w:shd w:fill="D9EAF7"/>
            <w:vAlign w:val="center"/>
          </w:tcPr>
          <w:p>
            <w:pPr>
              <w:jc w:val="center"/>
            </w:pPr>
            <w:r>
              <w:rPr>
                <w:rFonts w:ascii="Times New Roman" w:hAnsi="Times New Roman"/>
                <w:b/>
                <w:sz w:val="15"/>
              </w:rPr>
              <w:t>Periode</w:t>
            </w:r>
          </w:p>
        </w:tc>
        <w:tc>
          <w:tcPr>
            <w:tcW w:type="dxa" w:w="3402"/>
            <w:shd w:fill="D9EAF7"/>
            <w:vAlign w:val="center"/>
          </w:tcPr>
          <w:p>
            <w:pPr>
              <w:jc w:val="center"/>
            </w:pPr>
            <w:r>
              <w:rPr>
                <w:rFonts w:ascii="Times New Roman" w:hAnsi="Times New Roman"/>
                <w:b/>
                <w:sz w:val="15"/>
              </w:rPr>
              <w:t>Fungsi dalam buku</w:t>
            </w:r>
          </w:p>
        </w:tc>
        <w:tc>
          <w:tcPr>
            <w:tcW w:type="dxa" w:w="1531"/>
            <w:shd w:fill="D9EAF7"/>
            <w:vAlign w:val="center"/>
          </w:tcPr>
          <w:p>
            <w:pPr>
              <w:jc w:val="center"/>
            </w:pPr>
            <w:r>
              <w:rPr>
                <w:rFonts w:ascii="Times New Roman" w:hAnsi="Times New Roman"/>
                <w:b/>
                <w:sz w:val="15"/>
              </w:rPr>
              <w:t>Status</w:t>
            </w:r>
          </w:p>
        </w:tc>
        <w:tc>
          <w:tcPr>
            <w:tcW w:type="dxa" w:w="3969"/>
            <w:shd w:fill="D9EAF7"/>
            <w:vAlign w:val="center"/>
          </w:tcPr>
          <w:p>
            <w:pPr>
              <w:jc w:val="center"/>
            </w:pPr>
            <w:r>
              <w:rPr>
                <w:rFonts w:ascii="Times New Roman" w:hAnsi="Times New Roman"/>
                <w:b/>
                <w:sz w:val="15"/>
              </w:rPr>
              <w:t>Tautan resmi/utama</w:t>
            </w:r>
          </w:p>
        </w:tc>
      </w:tr>
      <w:tr>
        <w:trPr>
          <w:cantSplit/>
        </w:trPr>
        <w:tc>
          <w:tcPr>
            <w:tcW w:type="dxa" w:w="964"/>
            <w:vAlign w:val="top"/>
          </w:tcPr>
          <w:p>
            <w:r/>
            <w:r>
              <w:rPr>
                <w:rFonts w:ascii="Times New Roman" w:hAnsi="Times New Roman"/>
                <w:sz w:val="15"/>
              </w:rPr>
              <w:t>I-01</w:t>
            </w:r>
          </w:p>
        </w:tc>
        <w:tc>
          <w:tcPr>
            <w:tcW w:type="dxa" w:w="2494"/>
            <w:vAlign w:val="top"/>
          </w:tcPr>
          <w:p>
            <w:r/>
            <w:r>
              <w:rPr>
                <w:rFonts w:ascii="Times New Roman" w:hAnsi="Times New Roman"/>
                <w:sz w:val="15"/>
              </w:rPr>
              <w:t>APBN 2025 - postur dan baseline</w:t>
            </w:r>
          </w:p>
        </w:tc>
        <w:tc>
          <w:tcPr>
            <w:tcW w:type="dxa" w:w="3969"/>
            <w:vAlign w:val="top"/>
          </w:tcPr>
          <w:p>
            <w:r/>
            <w:r>
              <w:rPr>
                <w:rFonts w:ascii="Times New Roman" w:hAnsi="Times New Roman"/>
                <w:sz w:val="15"/>
              </w:rPr>
              <w:t>Nota Keuangan beserta APBN Tahun Anggaran 2025</w:t>
            </w:r>
          </w:p>
        </w:tc>
        <w:tc>
          <w:tcPr>
            <w:tcW w:type="dxa" w:w="1814"/>
            <w:vAlign w:val="top"/>
          </w:tcPr>
          <w:p>
            <w:r/>
            <w:r>
              <w:rPr>
                <w:rFonts w:ascii="Times New Roman" w:hAnsi="Times New Roman"/>
                <w:sz w:val="15"/>
              </w:rPr>
              <w:t>DATA PUBLIK RESMI</w:t>
            </w:r>
          </w:p>
        </w:tc>
        <w:tc>
          <w:tcPr>
            <w:tcW w:type="dxa" w:w="1247"/>
            <w:vAlign w:val="top"/>
          </w:tcPr>
          <w:p>
            <w:r/>
            <w:r>
              <w:rPr>
                <w:rFonts w:ascii="Times New Roman" w:hAnsi="Times New Roman"/>
                <w:sz w:val="15"/>
              </w:rPr>
              <w:t>2025</w:t>
            </w:r>
          </w:p>
        </w:tc>
        <w:tc>
          <w:tcPr>
            <w:tcW w:type="dxa" w:w="3402"/>
            <w:vAlign w:val="top"/>
          </w:tcPr>
          <w:p>
            <w:r/>
            <w:r>
              <w:rPr>
                <w:rFonts w:ascii="Times New Roman" w:hAnsi="Times New Roman"/>
                <w:sz w:val="15"/>
              </w:rPr>
              <w:t>Basis angka anggaran APBN 2025 dan pembanding terhadap realisasi.</w:t>
            </w:r>
          </w:p>
        </w:tc>
        <w:tc>
          <w:tcPr>
            <w:tcW w:type="dxa" w:w="1531"/>
            <w:vAlign w:val="top"/>
          </w:tcPr>
          <w:p>
            <w:r/>
            <w:r>
              <w:rPr>
                <w:rFonts w:ascii="Times New Roman" w:hAnsi="Times New Roman"/>
                <w:sz w:val="15"/>
              </w:rPr>
              <w:t>Eksplisit/utama</w:t>
            </w:r>
          </w:p>
        </w:tc>
        <w:tc>
          <w:tcPr>
            <w:tcW w:type="dxa" w:w="3969"/>
            <w:vAlign w:val="top"/>
          </w:tcPr>
          <w:p>
            <w:r/>
            <w:hyperlink r:id="rId10">
              <w:r>
                <w:rPr>
                  <w:color w:val="0563C1"/>
                  <w:u w:val="single"/>
                </w:rPr>
                <w:t>https://djpk.kemenkeu.go.id/?p=60363</w:t>
              </w:r>
            </w:hyperlink>
          </w:p>
        </w:tc>
      </w:tr>
      <w:tr>
        <w:trPr>
          <w:cantSplit/>
        </w:trPr>
        <w:tc>
          <w:tcPr>
            <w:tcW w:type="dxa" w:w="964"/>
            <w:vAlign w:val="top"/>
          </w:tcPr>
          <w:p>
            <w:r/>
            <w:r>
              <w:rPr>
                <w:rFonts w:ascii="Times New Roman" w:hAnsi="Times New Roman"/>
                <w:sz w:val="15"/>
              </w:rPr>
              <w:t>I-02</w:t>
            </w:r>
          </w:p>
        </w:tc>
        <w:tc>
          <w:tcPr>
            <w:tcW w:type="dxa" w:w="2494"/>
            <w:vAlign w:val="top"/>
          </w:tcPr>
          <w:p>
            <w:r/>
            <w:r>
              <w:rPr>
                <w:rFonts w:ascii="Times New Roman" w:hAnsi="Times New Roman"/>
                <w:sz w:val="15"/>
              </w:rPr>
              <w:t>Realisasi dan pertanggungjawaban APBN 2025</w:t>
            </w:r>
          </w:p>
        </w:tc>
        <w:tc>
          <w:tcPr>
            <w:tcW w:type="dxa" w:w="3969"/>
            <w:vAlign w:val="top"/>
          </w:tcPr>
          <w:p>
            <w:r/>
            <w:r>
              <w:rPr>
                <w:rFonts w:ascii="Times New Roman" w:hAnsi="Times New Roman"/>
                <w:sz w:val="15"/>
              </w:rPr>
              <w:t>LKPP 2025 audited / penyampaian RUU P2 APBN 2025 - Kementerian Keuangan</w:t>
            </w:r>
          </w:p>
        </w:tc>
        <w:tc>
          <w:tcPr>
            <w:tcW w:type="dxa" w:w="1814"/>
            <w:vAlign w:val="top"/>
          </w:tcPr>
          <w:p>
            <w:r/>
            <w:r>
              <w:rPr>
                <w:rFonts w:ascii="Times New Roman" w:hAnsi="Times New Roman"/>
                <w:sz w:val="15"/>
              </w:rPr>
              <w:t>DATA PUBLIK RESMI</w:t>
            </w:r>
          </w:p>
        </w:tc>
        <w:tc>
          <w:tcPr>
            <w:tcW w:type="dxa" w:w="1247"/>
            <w:vAlign w:val="top"/>
          </w:tcPr>
          <w:p>
            <w:r/>
            <w:r>
              <w:rPr>
                <w:rFonts w:ascii="Times New Roman" w:hAnsi="Times New Roman"/>
                <w:sz w:val="15"/>
              </w:rPr>
              <w:t>2025/2026</w:t>
            </w:r>
          </w:p>
        </w:tc>
        <w:tc>
          <w:tcPr>
            <w:tcW w:type="dxa" w:w="3402"/>
            <w:vAlign w:val="top"/>
          </w:tcPr>
          <w:p>
            <w:r/>
            <w:r>
              <w:rPr>
                <w:rFonts w:ascii="Times New Roman" w:hAnsi="Times New Roman"/>
                <w:sz w:val="15"/>
              </w:rPr>
              <w:t>Basis realisasi audited, defisit, pembiayaan, SiLPA dan posisi keuangan.</w:t>
            </w:r>
          </w:p>
        </w:tc>
        <w:tc>
          <w:tcPr>
            <w:tcW w:type="dxa" w:w="1531"/>
            <w:vAlign w:val="top"/>
          </w:tcPr>
          <w:p>
            <w:r/>
            <w:r>
              <w:rPr>
                <w:rFonts w:ascii="Times New Roman" w:hAnsi="Times New Roman"/>
                <w:sz w:val="15"/>
              </w:rPr>
              <w:t>Eksplisit/utama</w:t>
            </w:r>
          </w:p>
        </w:tc>
        <w:tc>
          <w:tcPr>
            <w:tcW w:type="dxa" w:w="3969"/>
            <w:vAlign w:val="top"/>
          </w:tcPr>
          <w:p>
            <w:r/>
            <w:hyperlink r:id="rId11">
              <w:r>
                <w:rPr>
                  <w:color w:val="0563C1"/>
                  <w:u w:val="single"/>
                </w:rPr>
                <w:t>https://djpb.kemenkeu.go.id/kppn/penerimaan/id/data-publikasi/berita-terbaru/3012-pemerintah-sampaikan-ruu-pertanggungjawaban-apbn-2025%2C-lkpp-kembali-raih-opini-wtp.html</w:t>
              </w:r>
            </w:hyperlink>
          </w:p>
        </w:tc>
      </w:tr>
      <w:tr>
        <w:trPr>
          <w:cantSplit/>
        </w:trPr>
        <w:tc>
          <w:tcPr>
            <w:tcW w:type="dxa" w:w="964"/>
            <w:vAlign w:val="top"/>
          </w:tcPr>
          <w:p>
            <w:r/>
            <w:r>
              <w:rPr>
                <w:rFonts w:ascii="Times New Roman" w:hAnsi="Times New Roman"/>
                <w:sz w:val="15"/>
              </w:rPr>
              <w:t>I-03</w:t>
            </w:r>
          </w:p>
        </w:tc>
        <w:tc>
          <w:tcPr>
            <w:tcW w:type="dxa" w:w="2494"/>
            <w:vAlign w:val="top"/>
          </w:tcPr>
          <w:p>
            <w:r/>
            <w:r>
              <w:rPr>
                <w:rFonts w:ascii="Times New Roman" w:hAnsi="Times New Roman"/>
                <w:sz w:val="15"/>
              </w:rPr>
              <w:t>Audit LKPP 2025</w:t>
            </w:r>
          </w:p>
        </w:tc>
        <w:tc>
          <w:tcPr>
            <w:tcW w:type="dxa" w:w="3969"/>
            <w:vAlign w:val="top"/>
          </w:tcPr>
          <w:p>
            <w:r/>
            <w:r>
              <w:rPr>
                <w:rFonts w:ascii="Times New Roman" w:hAnsi="Times New Roman"/>
                <w:sz w:val="15"/>
              </w:rPr>
              <w:t>BPK RI - Laporan Hasil Pemeriksaan atas LKPP 2025</w:t>
            </w:r>
          </w:p>
        </w:tc>
        <w:tc>
          <w:tcPr>
            <w:tcW w:type="dxa" w:w="1814"/>
            <w:vAlign w:val="top"/>
          </w:tcPr>
          <w:p>
            <w:r/>
            <w:r>
              <w:rPr>
                <w:rFonts w:ascii="Times New Roman" w:hAnsi="Times New Roman"/>
                <w:sz w:val="15"/>
              </w:rPr>
              <w:t>DATA PUBLIK RESMI</w:t>
            </w:r>
          </w:p>
        </w:tc>
        <w:tc>
          <w:tcPr>
            <w:tcW w:type="dxa" w:w="1247"/>
            <w:vAlign w:val="top"/>
          </w:tcPr>
          <w:p>
            <w:r/>
            <w:r>
              <w:rPr>
                <w:rFonts w:ascii="Times New Roman" w:hAnsi="Times New Roman"/>
                <w:sz w:val="15"/>
              </w:rPr>
              <w:t>2025/2026</w:t>
            </w:r>
          </w:p>
        </w:tc>
        <w:tc>
          <w:tcPr>
            <w:tcW w:type="dxa" w:w="3402"/>
            <w:vAlign w:val="top"/>
          </w:tcPr>
          <w:p>
            <w:r/>
            <w:r>
              <w:rPr>
                <w:rFonts w:ascii="Times New Roman" w:hAnsi="Times New Roman"/>
                <w:sz w:val="15"/>
              </w:rPr>
              <w:t>Basis pembacaan opini WTP, temuan, rekomendasi dan perbedaan audit laporan keuangan vs efektivitas kebijakan.</w:t>
            </w:r>
          </w:p>
        </w:tc>
        <w:tc>
          <w:tcPr>
            <w:tcW w:type="dxa" w:w="1531"/>
            <w:vAlign w:val="top"/>
          </w:tcPr>
          <w:p>
            <w:r/>
            <w:r>
              <w:rPr>
                <w:rFonts w:ascii="Times New Roman" w:hAnsi="Times New Roman"/>
                <w:sz w:val="15"/>
              </w:rPr>
              <w:t>Eksplisit/utama</w:t>
            </w:r>
          </w:p>
        </w:tc>
        <w:tc>
          <w:tcPr>
            <w:tcW w:type="dxa" w:w="3969"/>
            <w:vAlign w:val="top"/>
          </w:tcPr>
          <w:p>
            <w:r/>
            <w:hyperlink r:id="rId12">
              <w:r>
                <w:rPr>
                  <w:color w:val="0563C1"/>
                  <w:u w:val="single"/>
                </w:rPr>
                <w:t>https://www.bpk.go.id/lkpp</w:t>
              </w:r>
            </w:hyperlink>
          </w:p>
        </w:tc>
      </w:tr>
      <w:tr>
        <w:trPr>
          <w:cantSplit/>
        </w:trPr>
        <w:tc>
          <w:tcPr>
            <w:tcW w:type="dxa" w:w="964"/>
            <w:vAlign w:val="top"/>
          </w:tcPr>
          <w:p>
            <w:r/>
            <w:r>
              <w:rPr>
                <w:rFonts w:ascii="Times New Roman" w:hAnsi="Times New Roman"/>
                <w:sz w:val="15"/>
              </w:rPr>
              <w:t>I-04</w:t>
            </w:r>
          </w:p>
        </w:tc>
        <w:tc>
          <w:tcPr>
            <w:tcW w:type="dxa" w:w="2494"/>
            <w:vAlign w:val="top"/>
          </w:tcPr>
          <w:p>
            <w:r/>
            <w:r>
              <w:rPr>
                <w:rFonts w:ascii="Times New Roman" w:hAnsi="Times New Roman"/>
                <w:sz w:val="15"/>
              </w:rPr>
              <w:t>APBD DKI Jakarta 2025</w:t>
            </w:r>
          </w:p>
        </w:tc>
        <w:tc>
          <w:tcPr>
            <w:tcW w:type="dxa" w:w="3969"/>
            <w:vAlign w:val="top"/>
          </w:tcPr>
          <w:p>
            <w:r/>
            <w:r>
              <w:rPr>
                <w:rFonts w:ascii="Times New Roman" w:hAnsi="Times New Roman"/>
                <w:sz w:val="15"/>
              </w:rPr>
              <w:t>Perda Provinsi DKI Jakarta Nomor 9 Tahun 2024 tentang APBD TA 2025</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2024/2025</w:t>
            </w:r>
          </w:p>
        </w:tc>
        <w:tc>
          <w:tcPr>
            <w:tcW w:type="dxa" w:w="3402"/>
            <w:vAlign w:val="top"/>
          </w:tcPr>
          <w:p>
            <w:r/>
            <w:r>
              <w:rPr>
                <w:rFonts w:ascii="Times New Roman" w:hAnsi="Times New Roman"/>
                <w:sz w:val="15"/>
              </w:rPr>
              <w:t>Basis legal APBD DKI 2025 sebagai contoh daerah.</w:t>
            </w:r>
          </w:p>
        </w:tc>
        <w:tc>
          <w:tcPr>
            <w:tcW w:type="dxa" w:w="1531"/>
            <w:vAlign w:val="top"/>
          </w:tcPr>
          <w:p>
            <w:r/>
            <w:r>
              <w:rPr>
                <w:rFonts w:ascii="Times New Roman" w:hAnsi="Times New Roman"/>
                <w:sz w:val="15"/>
              </w:rPr>
              <w:t>Eksplisit/utama</w:t>
            </w:r>
          </w:p>
        </w:tc>
        <w:tc>
          <w:tcPr>
            <w:tcW w:type="dxa" w:w="3969"/>
            <w:vAlign w:val="top"/>
          </w:tcPr>
          <w:p>
            <w:r/>
            <w:hyperlink r:id="rId13">
              <w:r>
                <w:rPr>
                  <w:color w:val="0563C1"/>
                  <w:u w:val="single"/>
                </w:rPr>
                <w:t>https://jdih.jakarta.go.id/dokumen/detail/14203/peraturan-daerah-nomor-9-tahun-2024tentang-anggaran-pendapatan-dan-belanja-daerah-tahun-anggaran-2025</w:t>
              </w:r>
            </w:hyperlink>
          </w:p>
        </w:tc>
      </w:tr>
      <w:tr>
        <w:trPr>
          <w:cantSplit/>
        </w:trPr>
        <w:tc>
          <w:tcPr>
            <w:tcW w:type="dxa" w:w="964"/>
            <w:vAlign w:val="top"/>
          </w:tcPr>
          <w:p>
            <w:r/>
            <w:r>
              <w:rPr>
                <w:rFonts w:ascii="Times New Roman" w:hAnsi="Times New Roman"/>
                <w:sz w:val="15"/>
              </w:rPr>
              <w:t>I-05</w:t>
            </w:r>
          </w:p>
        </w:tc>
        <w:tc>
          <w:tcPr>
            <w:tcW w:type="dxa" w:w="2494"/>
            <w:vAlign w:val="top"/>
          </w:tcPr>
          <w:p>
            <w:r/>
            <w:r>
              <w:rPr>
                <w:rFonts w:ascii="Times New Roman" w:hAnsi="Times New Roman"/>
                <w:sz w:val="15"/>
              </w:rPr>
              <w:t>Pertanggungjawaban APBD DKI 2025</w:t>
            </w:r>
          </w:p>
        </w:tc>
        <w:tc>
          <w:tcPr>
            <w:tcW w:type="dxa" w:w="3969"/>
            <w:vAlign w:val="top"/>
          </w:tcPr>
          <w:p>
            <w:r/>
            <w:r>
              <w:rPr>
                <w:rFonts w:ascii="Times New Roman" w:hAnsi="Times New Roman"/>
                <w:sz w:val="15"/>
              </w:rPr>
              <w:t>Pemprov DKI Jakarta - penyampaian pertanggungjawaban pelaksanaan APBD 2025</w:t>
            </w:r>
          </w:p>
        </w:tc>
        <w:tc>
          <w:tcPr>
            <w:tcW w:type="dxa" w:w="1814"/>
            <w:vAlign w:val="top"/>
          </w:tcPr>
          <w:p>
            <w:r/>
            <w:r>
              <w:rPr>
                <w:rFonts w:ascii="Times New Roman" w:hAnsi="Times New Roman"/>
                <w:sz w:val="15"/>
              </w:rPr>
              <w:t>DATA PUBLIK RESMI</w:t>
            </w:r>
          </w:p>
        </w:tc>
        <w:tc>
          <w:tcPr>
            <w:tcW w:type="dxa" w:w="1247"/>
            <w:vAlign w:val="top"/>
          </w:tcPr>
          <w:p>
            <w:r/>
            <w:r>
              <w:rPr>
                <w:rFonts w:ascii="Times New Roman" w:hAnsi="Times New Roman"/>
                <w:sz w:val="15"/>
              </w:rPr>
              <w:t>2025/2026</w:t>
            </w:r>
          </w:p>
        </w:tc>
        <w:tc>
          <w:tcPr>
            <w:tcW w:type="dxa" w:w="3402"/>
            <w:vAlign w:val="top"/>
          </w:tcPr>
          <w:p>
            <w:r/>
            <w:r>
              <w:rPr>
                <w:rFonts w:ascii="Times New Roman" w:hAnsi="Times New Roman"/>
                <w:sz w:val="15"/>
              </w:rPr>
              <w:t>Basis realisasi pendapatan, belanja, SiLPA, aset, kewajiban, ekuitas dan opini.</w:t>
            </w:r>
          </w:p>
        </w:tc>
        <w:tc>
          <w:tcPr>
            <w:tcW w:type="dxa" w:w="1531"/>
            <w:vAlign w:val="top"/>
          </w:tcPr>
          <w:p>
            <w:r/>
            <w:r>
              <w:rPr>
                <w:rFonts w:ascii="Times New Roman" w:hAnsi="Times New Roman"/>
                <w:sz w:val="15"/>
              </w:rPr>
              <w:t>Eksplisit/utama</w:t>
            </w:r>
          </w:p>
        </w:tc>
        <w:tc>
          <w:tcPr>
            <w:tcW w:type="dxa" w:w="3969"/>
            <w:vAlign w:val="top"/>
          </w:tcPr>
          <w:p>
            <w:r/>
            <w:hyperlink r:id="rId14">
              <w:r>
                <w:rPr>
                  <w:color w:val="0563C1"/>
                  <w:u w:val="single"/>
                </w:rPr>
                <w:t>https://www.jakarta.go.id/siaran-pers/6761-SP-HMS-06-2026</w:t>
              </w:r>
            </w:hyperlink>
          </w:p>
        </w:tc>
      </w:tr>
      <w:tr>
        <w:trPr>
          <w:cantSplit/>
        </w:trPr>
        <w:tc>
          <w:tcPr>
            <w:tcW w:type="dxa" w:w="964"/>
            <w:vAlign w:val="top"/>
          </w:tcPr>
          <w:p>
            <w:r/>
            <w:r>
              <w:rPr>
                <w:rFonts w:ascii="Times New Roman" w:hAnsi="Times New Roman"/>
                <w:sz w:val="15"/>
              </w:rPr>
              <w:t>I-06</w:t>
            </w:r>
          </w:p>
        </w:tc>
        <w:tc>
          <w:tcPr>
            <w:tcW w:type="dxa" w:w="2494"/>
            <w:vAlign w:val="top"/>
          </w:tcPr>
          <w:p>
            <w:r/>
            <w:r>
              <w:rPr>
                <w:rFonts w:ascii="Times New Roman" w:hAnsi="Times New Roman"/>
                <w:sz w:val="15"/>
              </w:rPr>
              <w:t>Standar Akuntansi Pemerintahan</w:t>
            </w:r>
          </w:p>
        </w:tc>
        <w:tc>
          <w:tcPr>
            <w:tcW w:type="dxa" w:w="3969"/>
            <w:vAlign w:val="top"/>
          </w:tcPr>
          <w:p>
            <w:r/>
            <w:r>
              <w:rPr>
                <w:rFonts w:ascii="Times New Roman" w:hAnsi="Times New Roman"/>
                <w:sz w:val="15"/>
              </w:rPr>
              <w:t>PP Nomor 71 Tahun 2010 tentang Standar Akuntansi Pemerintahan</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2010</w:t>
            </w:r>
          </w:p>
        </w:tc>
        <w:tc>
          <w:tcPr>
            <w:tcW w:type="dxa" w:w="3402"/>
            <w:vAlign w:val="top"/>
          </w:tcPr>
          <w:p>
            <w:r/>
            <w:r>
              <w:rPr>
                <w:rFonts w:ascii="Times New Roman" w:hAnsi="Times New Roman"/>
                <w:sz w:val="15"/>
              </w:rPr>
              <w:t>Basis normatif SAP/PSAP untuk LKPP/LKPD.</w:t>
            </w:r>
          </w:p>
        </w:tc>
        <w:tc>
          <w:tcPr>
            <w:tcW w:type="dxa" w:w="1531"/>
            <w:vAlign w:val="top"/>
          </w:tcPr>
          <w:p>
            <w:r/>
            <w:r>
              <w:rPr>
                <w:rFonts w:ascii="Times New Roman" w:hAnsi="Times New Roman"/>
                <w:sz w:val="15"/>
              </w:rPr>
              <w:t>Eksplisit/utama</w:t>
            </w:r>
          </w:p>
        </w:tc>
        <w:tc>
          <w:tcPr>
            <w:tcW w:type="dxa" w:w="3969"/>
            <w:vAlign w:val="top"/>
          </w:tcPr>
          <w:p>
            <w:r/>
            <w:hyperlink r:id="rId15">
              <w:r>
                <w:rPr>
                  <w:color w:val="0563C1"/>
                  <w:u w:val="single"/>
                </w:rPr>
                <w:t>https://peraturan.bpk.go.id/Details/5095/pp-no-71-tahun-2010</w:t>
              </w:r>
            </w:hyperlink>
          </w:p>
        </w:tc>
      </w:tr>
      <w:tr>
        <w:trPr>
          <w:cantSplit/>
        </w:trPr>
        <w:tc>
          <w:tcPr>
            <w:tcW w:type="dxa" w:w="964"/>
            <w:vAlign w:val="top"/>
          </w:tcPr>
          <w:p>
            <w:r/>
            <w:r>
              <w:rPr>
                <w:rFonts w:ascii="Times New Roman" w:hAnsi="Times New Roman"/>
                <w:sz w:val="15"/>
              </w:rPr>
              <w:t>I-07</w:t>
            </w:r>
          </w:p>
        </w:tc>
        <w:tc>
          <w:tcPr>
            <w:tcW w:type="dxa" w:w="2494"/>
            <w:vAlign w:val="top"/>
          </w:tcPr>
          <w:p>
            <w:r/>
            <w:r>
              <w:rPr>
                <w:rFonts w:ascii="Times New Roman" w:hAnsi="Times New Roman"/>
                <w:sz w:val="15"/>
              </w:rPr>
              <w:t>Kebijakan akuntansi Pemerintah Pusat</w:t>
            </w:r>
          </w:p>
        </w:tc>
        <w:tc>
          <w:tcPr>
            <w:tcW w:type="dxa" w:w="3969"/>
            <w:vAlign w:val="top"/>
          </w:tcPr>
          <w:p>
            <w:r/>
            <w:r>
              <w:rPr>
                <w:rFonts w:ascii="Times New Roman" w:hAnsi="Times New Roman"/>
                <w:sz w:val="15"/>
              </w:rPr>
              <w:t>PMK Nomor 100 Tahun 2025 tentang Kebijakan Akuntansi Pemerintah Pusat</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2025</w:t>
            </w:r>
          </w:p>
        </w:tc>
        <w:tc>
          <w:tcPr>
            <w:tcW w:type="dxa" w:w="3402"/>
            <w:vAlign w:val="top"/>
          </w:tcPr>
          <w:p>
            <w:r/>
            <w:r>
              <w:rPr>
                <w:rFonts w:ascii="Times New Roman" w:hAnsi="Times New Roman"/>
                <w:sz w:val="15"/>
              </w:rPr>
              <w:t>Basis kebijakan akuntansi pusat mulai penyusunan LK TA 2025.</w:t>
            </w:r>
          </w:p>
        </w:tc>
        <w:tc>
          <w:tcPr>
            <w:tcW w:type="dxa" w:w="1531"/>
            <w:vAlign w:val="top"/>
          </w:tcPr>
          <w:p>
            <w:r/>
            <w:r>
              <w:rPr>
                <w:rFonts w:ascii="Times New Roman" w:hAnsi="Times New Roman"/>
                <w:sz w:val="15"/>
              </w:rPr>
              <w:t>Eksplisit/utama</w:t>
            </w:r>
          </w:p>
        </w:tc>
        <w:tc>
          <w:tcPr>
            <w:tcW w:type="dxa" w:w="3969"/>
            <w:vAlign w:val="top"/>
          </w:tcPr>
          <w:p>
            <w:r/>
            <w:hyperlink r:id="rId16">
              <w:r>
                <w:rPr>
                  <w:color w:val="0563C1"/>
                  <w:u w:val="single"/>
                </w:rPr>
                <w:t>https://jdih.kemenkeu.go.id/dok/pmk-100-tahun-2025</w:t>
              </w:r>
            </w:hyperlink>
          </w:p>
        </w:tc>
      </w:tr>
      <w:tr>
        <w:trPr>
          <w:cantSplit/>
        </w:trPr>
        <w:tc>
          <w:tcPr>
            <w:tcW w:type="dxa" w:w="964"/>
            <w:vAlign w:val="top"/>
          </w:tcPr>
          <w:p>
            <w:r/>
            <w:r>
              <w:rPr>
                <w:rFonts w:ascii="Times New Roman" w:hAnsi="Times New Roman"/>
                <w:sz w:val="15"/>
              </w:rPr>
              <w:t>I-08</w:t>
            </w:r>
          </w:p>
        </w:tc>
        <w:tc>
          <w:tcPr>
            <w:tcW w:type="dxa" w:w="2494"/>
            <w:vAlign w:val="top"/>
          </w:tcPr>
          <w:p>
            <w:r/>
            <w:r>
              <w:rPr>
                <w:rFonts w:ascii="Times New Roman" w:hAnsi="Times New Roman"/>
                <w:sz w:val="15"/>
              </w:rPr>
              <w:t>Kerangka keuangan negara</w:t>
            </w:r>
          </w:p>
        </w:tc>
        <w:tc>
          <w:tcPr>
            <w:tcW w:type="dxa" w:w="3969"/>
            <w:vAlign w:val="top"/>
          </w:tcPr>
          <w:p>
            <w:r/>
            <w:r>
              <w:rPr>
                <w:rFonts w:ascii="Times New Roman" w:hAnsi="Times New Roman"/>
                <w:sz w:val="15"/>
              </w:rPr>
              <w:t>UU Nomor 17 Tahun 2003 tentang Keuangan Negara; UU Nomor 1 Tahun 2004 tentang Perbendaharaan Negara</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2003/2004</w:t>
            </w:r>
          </w:p>
        </w:tc>
        <w:tc>
          <w:tcPr>
            <w:tcW w:type="dxa" w:w="3402"/>
            <w:vAlign w:val="top"/>
          </w:tcPr>
          <w:p>
            <w:r/>
            <w:r>
              <w:rPr>
                <w:rFonts w:ascii="Times New Roman" w:hAnsi="Times New Roman"/>
                <w:sz w:val="15"/>
              </w:rPr>
              <w:t>Landasan arsitektur anggaran, pelaksanaan dan pertanggungjawaban keuangan negara.</w:t>
            </w:r>
          </w:p>
        </w:tc>
        <w:tc>
          <w:tcPr>
            <w:tcW w:type="dxa" w:w="1531"/>
            <w:vAlign w:val="top"/>
          </w:tcPr>
          <w:p>
            <w:r/>
            <w:r>
              <w:rPr>
                <w:rFonts w:ascii="Times New Roman" w:hAnsi="Times New Roman"/>
                <w:sz w:val="15"/>
              </w:rPr>
              <w:t>Pendukung primer</w:t>
            </w:r>
          </w:p>
        </w:tc>
        <w:tc>
          <w:tcPr>
            <w:tcW w:type="dxa" w:w="3969"/>
            <w:vAlign w:val="top"/>
          </w:tcPr>
          <w:p>
            <w:r/>
            <w:hyperlink r:id="rId17">
              <w:r>
                <w:rPr>
                  <w:color w:val="0563C1"/>
                  <w:u w:val="single"/>
                </w:rPr>
                <w:t>https://peraturan.bpk.go.id</w:t>
              </w:r>
            </w:hyperlink>
          </w:p>
        </w:tc>
      </w:tr>
    </w:tbl>
    <w:p/>
    <w:p>
      <w:pPr>
        <w:pStyle w:val="Heading1"/>
      </w:pPr>
      <w:r>
        <w:t>BAB II - Public Value</w:t>
      </w:r>
    </w:p>
    <w:tbl>
      <w:tblPr>
        <w:tblStyle w:val="TableGrid"/>
        <w:tblW w:type="auto" w:w="0"/>
        <w:jc w:val="center"/>
        <w:tblLook w:firstColumn="1" w:firstRow="1" w:lastColumn="0" w:lastRow="0" w:noHBand="0" w:noVBand="1" w:val="04A0"/>
      </w:tblPr>
      <w:tblGrid>
        <w:gridCol w:w="1935"/>
        <w:gridCol w:w="1935"/>
        <w:gridCol w:w="1935"/>
        <w:gridCol w:w="1935"/>
        <w:gridCol w:w="1935"/>
        <w:gridCol w:w="1935"/>
        <w:gridCol w:w="1935"/>
        <w:gridCol w:w="1935"/>
      </w:tblGrid>
      <w:tr>
        <w:tc>
          <w:tcPr>
            <w:tcW w:type="dxa" w:w="964"/>
            <w:shd w:fill="D9EAF7"/>
            <w:vAlign w:val="center"/>
          </w:tcPr>
          <w:p>
            <w:pPr>
              <w:jc w:val="center"/>
            </w:pPr>
            <w:r>
              <w:rPr>
                <w:rFonts w:ascii="Times New Roman" w:hAnsi="Times New Roman"/>
                <w:b/>
                <w:sz w:val="15"/>
              </w:rPr>
              <w:t>Kode</w:t>
            </w:r>
          </w:p>
        </w:tc>
        <w:tc>
          <w:tcPr>
            <w:tcW w:type="dxa" w:w="2494"/>
            <w:shd w:fill="D9EAF7"/>
            <w:vAlign w:val="center"/>
          </w:tcPr>
          <w:p>
            <w:pPr>
              <w:jc w:val="center"/>
            </w:pPr>
            <w:r>
              <w:rPr>
                <w:rFonts w:ascii="Times New Roman" w:hAnsi="Times New Roman"/>
                <w:b/>
                <w:sz w:val="15"/>
              </w:rPr>
              <w:t>Topik/Klaim</w:t>
            </w:r>
          </w:p>
        </w:tc>
        <w:tc>
          <w:tcPr>
            <w:tcW w:type="dxa" w:w="3969"/>
            <w:shd w:fill="D9EAF7"/>
            <w:vAlign w:val="center"/>
          </w:tcPr>
          <w:p>
            <w:pPr>
              <w:jc w:val="center"/>
            </w:pPr>
            <w:r>
              <w:rPr>
                <w:rFonts w:ascii="Times New Roman" w:hAnsi="Times New Roman"/>
                <w:b/>
                <w:sz w:val="15"/>
              </w:rPr>
              <w:t>Sumber primer/dokumen</w:t>
            </w:r>
          </w:p>
        </w:tc>
        <w:tc>
          <w:tcPr>
            <w:tcW w:type="dxa" w:w="1814"/>
            <w:shd w:fill="D9EAF7"/>
            <w:vAlign w:val="center"/>
          </w:tcPr>
          <w:p>
            <w:pPr>
              <w:jc w:val="center"/>
            </w:pPr>
            <w:r>
              <w:rPr>
                <w:rFonts w:ascii="Times New Roman" w:hAnsi="Times New Roman"/>
                <w:b/>
                <w:sz w:val="15"/>
              </w:rPr>
              <w:t>Jenis</w:t>
            </w:r>
          </w:p>
        </w:tc>
        <w:tc>
          <w:tcPr>
            <w:tcW w:type="dxa" w:w="1247"/>
            <w:shd w:fill="D9EAF7"/>
            <w:vAlign w:val="center"/>
          </w:tcPr>
          <w:p>
            <w:pPr>
              <w:jc w:val="center"/>
            </w:pPr>
            <w:r>
              <w:rPr>
                <w:rFonts w:ascii="Times New Roman" w:hAnsi="Times New Roman"/>
                <w:b/>
                <w:sz w:val="15"/>
              </w:rPr>
              <w:t>Periode</w:t>
            </w:r>
          </w:p>
        </w:tc>
        <w:tc>
          <w:tcPr>
            <w:tcW w:type="dxa" w:w="3402"/>
            <w:shd w:fill="D9EAF7"/>
            <w:vAlign w:val="center"/>
          </w:tcPr>
          <w:p>
            <w:pPr>
              <w:jc w:val="center"/>
            </w:pPr>
            <w:r>
              <w:rPr>
                <w:rFonts w:ascii="Times New Roman" w:hAnsi="Times New Roman"/>
                <w:b/>
                <w:sz w:val="15"/>
              </w:rPr>
              <w:t>Fungsi dalam buku</w:t>
            </w:r>
          </w:p>
        </w:tc>
        <w:tc>
          <w:tcPr>
            <w:tcW w:type="dxa" w:w="1531"/>
            <w:shd w:fill="D9EAF7"/>
            <w:vAlign w:val="center"/>
          </w:tcPr>
          <w:p>
            <w:pPr>
              <w:jc w:val="center"/>
            </w:pPr>
            <w:r>
              <w:rPr>
                <w:rFonts w:ascii="Times New Roman" w:hAnsi="Times New Roman"/>
                <w:b/>
                <w:sz w:val="15"/>
              </w:rPr>
              <w:t>Status</w:t>
            </w:r>
          </w:p>
        </w:tc>
        <w:tc>
          <w:tcPr>
            <w:tcW w:type="dxa" w:w="3969"/>
            <w:shd w:fill="D9EAF7"/>
            <w:vAlign w:val="center"/>
          </w:tcPr>
          <w:p>
            <w:pPr>
              <w:jc w:val="center"/>
            </w:pPr>
            <w:r>
              <w:rPr>
                <w:rFonts w:ascii="Times New Roman" w:hAnsi="Times New Roman"/>
                <w:b/>
                <w:sz w:val="15"/>
              </w:rPr>
              <w:t>Tautan resmi/utama</w:t>
            </w:r>
          </w:p>
        </w:tc>
      </w:tr>
      <w:tr>
        <w:trPr>
          <w:cantSplit/>
        </w:trPr>
        <w:tc>
          <w:tcPr>
            <w:tcW w:type="dxa" w:w="964"/>
            <w:vAlign w:val="top"/>
          </w:tcPr>
          <w:p>
            <w:r/>
            <w:r>
              <w:rPr>
                <w:rFonts w:ascii="Times New Roman" w:hAnsi="Times New Roman"/>
                <w:sz w:val="15"/>
              </w:rPr>
              <w:t>II-01</w:t>
            </w:r>
          </w:p>
        </w:tc>
        <w:tc>
          <w:tcPr>
            <w:tcW w:type="dxa" w:w="2494"/>
            <w:vAlign w:val="top"/>
          </w:tcPr>
          <w:p>
            <w:r/>
            <w:r>
              <w:rPr>
                <w:rFonts w:ascii="Times New Roman" w:hAnsi="Times New Roman"/>
                <w:sz w:val="15"/>
              </w:rPr>
              <w:t>Public Value / strategic triangle</w:t>
            </w:r>
          </w:p>
        </w:tc>
        <w:tc>
          <w:tcPr>
            <w:tcW w:type="dxa" w:w="3969"/>
            <w:vAlign w:val="top"/>
          </w:tcPr>
          <w:p>
            <w:r/>
            <w:r>
              <w:rPr>
                <w:rFonts w:ascii="Times New Roman" w:hAnsi="Times New Roman"/>
                <w:sz w:val="15"/>
              </w:rPr>
              <w:t>Mark H. Moore, Creating Public Value: Strategic Management in Government, Harvard University Press</w:t>
            </w:r>
          </w:p>
        </w:tc>
        <w:tc>
          <w:tcPr>
            <w:tcW w:type="dxa" w:w="1814"/>
            <w:vAlign w:val="top"/>
          </w:tcPr>
          <w:p>
            <w:r/>
            <w:r>
              <w:rPr>
                <w:rFonts w:ascii="Times New Roman" w:hAnsi="Times New Roman"/>
                <w:sz w:val="15"/>
              </w:rPr>
              <w:t>REFERENSI KONSEPTUAL PRIMER</w:t>
            </w:r>
          </w:p>
        </w:tc>
        <w:tc>
          <w:tcPr>
            <w:tcW w:type="dxa" w:w="1247"/>
            <w:vAlign w:val="top"/>
          </w:tcPr>
          <w:p>
            <w:r/>
            <w:r>
              <w:rPr>
                <w:rFonts w:ascii="Times New Roman" w:hAnsi="Times New Roman"/>
                <w:sz w:val="15"/>
              </w:rPr>
              <w:t>1995</w:t>
            </w:r>
          </w:p>
        </w:tc>
        <w:tc>
          <w:tcPr>
            <w:tcW w:type="dxa" w:w="3402"/>
            <w:vAlign w:val="top"/>
          </w:tcPr>
          <w:p>
            <w:r/>
            <w:r>
              <w:rPr>
                <w:rFonts w:ascii="Times New Roman" w:hAnsi="Times New Roman"/>
                <w:sz w:val="15"/>
              </w:rPr>
              <w:t>Rujukan eksplisit untuk substantive value, legitimacy/support dan operational capacity.</w:t>
            </w:r>
          </w:p>
        </w:tc>
        <w:tc>
          <w:tcPr>
            <w:tcW w:type="dxa" w:w="1531"/>
            <w:vAlign w:val="top"/>
          </w:tcPr>
          <w:p>
            <w:r/>
            <w:r>
              <w:rPr>
                <w:rFonts w:ascii="Times New Roman" w:hAnsi="Times New Roman"/>
                <w:sz w:val="15"/>
              </w:rPr>
              <w:t>Eksplisit/utama</w:t>
            </w:r>
          </w:p>
        </w:tc>
        <w:tc>
          <w:tcPr>
            <w:tcW w:type="dxa" w:w="3969"/>
            <w:vAlign w:val="top"/>
          </w:tcPr>
          <w:p>
            <w:r/>
            <w:hyperlink r:id="rId18">
              <w:r>
                <w:rPr>
                  <w:color w:val="0563C1"/>
                  <w:u w:val="single"/>
                </w:rPr>
                <w:t>https://markmoore.scholars.harvard.edu/topics/public-management</w:t>
              </w:r>
            </w:hyperlink>
          </w:p>
        </w:tc>
      </w:tr>
      <w:tr>
        <w:trPr>
          <w:cantSplit/>
        </w:trPr>
        <w:tc>
          <w:tcPr>
            <w:tcW w:type="dxa" w:w="964"/>
            <w:vAlign w:val="top"/>
          </w:tcPr>
          <w:p>
            <w:r/>
            <w:r>
              <w:rPr>
                <w:rFonts w:ascii="Times New Roman" w:hAnsi="Times New Roman"/>
                <w:sz w:val="15"/>
              </w:rPr>
              <w:t>II-02</w:t>
            </w:r>
          </w:p>
        </w:tc>
        <w:tc>
          <w:tcPr>
            <w:tcW w:type="dxa" w:w="2494"/>
            <w:vAlign w:val="top"/>
          </w:tcPr>
          <w:p>
            <w:r/>
            <w:r>
              <w:rPr>
                <w:rFonts w:ascii="Times New Roman" w:hAnsi="Times New Roman"/>
                <w:sz w:val="15"/>
              </w:rPr>
              <w:t>Dashboard Public Value buku</w:t>
            </w:r>
          </w:p>
        </w:tc>
        <w:tc>
          <w:tcPr>
            <w:tcW w:type="dxa" w:w="3969"/>
            <w:vAlign w:val="top"/>
          </w:tcPr>
          <w:p>
            <w:r/>
            <w:r>
              <w:rPr>
                <w:rFonts w:ascii="Times New Roman" w:hAnsi="Times New Roman"/>
                <w:sz w:val="15"/>
              </w:rPr>
              <w:t>Kerangka penulis: Problem → Policy Choice → Institution → Capacity → Delivery → Output → Outcome → Public Value</w:t>
            </w:r>
          </w:p>
        </w:tc>
        <w:tc>
          <w:tcPr>
            <w:tcW w:type="dxa" w:w="1814"/>
            <w:vAlign w:val="top"/>
          </w:tcPr>
          <w:p>
            <w:r/>
            <w:r>
              <w:rPr>
                <w:rFonts w:ascii="Times New Roman" w:hAnsi="Times New Roman"/>
                <w:sz w:val="15"/>
              </w:rPr>
              <w:t>KERANGKA PENULIS</w:t>
            </w:r>
          </w:p>
        </w:tc>
        <w:tc>
          <w:tcPr>
            <w:tcW w:type="dxa" w:w="1247"/>
            <w:vAlign w:val="top"/>
          </w:tcPr>
          <w:p>
            <w:r/>
            <w:r>
              <w:rPr>
                <w:rFonts w:ascii="Times New Roman" w:hAnsi="Times New Roman"/>
                <w:sz w:val="15"/>
              </w:rPr>
              <w:t>2026</w:t>
            </w:r>
          </w:p>
        </w:tc>
        <w:tc>
          <w:tcPr>
            <w:tcW w:type="dxa" w:w="3402"/>
            <w:vAlign w:val="top"/>
          </w:tcPr>
          <w:p>
            <w:r/>
            <w:r>
              <w:rPr>
                <w:rFonts w:ascii="Times New Roman" w:hAnsi="Times New Roman"/>
                <w:sz w:val="15"/>
              </w:rPr>
              <w:t>Kerangka sintesis buku; bukan indikator resmi dan tidak diklaim berasal dari satu standar eksternal.</w:t>
            </w:r>
          </w:p>
        </w:tc>
        <w:tc>
          <w:tcPr>
            <w:tcW w:type="dxa" w:w="1531"/>
            <w:vAlign w:val="top"/>
          </w:tcPr>
          <w:p>
            <w:r/>
            <w:r>
              <w:rPr>
                <w:rFonts w:ascii="Times New Roman" w:hAnsi="Times New Roman"/>
                <w:sz w:val="15"/>
              </w:rPr>
              <w:t>Author framework</w:t>
            </w:r>
          </w:p>
        </w:tc>
        <w:tc>
          <w:tcPr>
            <w:tcW w:type="dxa" w:w="3969"/>
            <w:vAlign w:val="top"/>
          </w:tcPr>
          <w:p>
            <w:r/>
            <w:r>
              <w:rPr>
                <w:rFonts w:ascii="Times New Roman" w:hAnsi="Times New Roman"/>
                <w:sz w:val="15"/>
              </w:rPr>
              <w:t>—</w:t>
            </w:r>
          </w:p>
        </w:tc>
      </w:tr>
    </w:tbl>
    <w:p/>
    <w:p>
      <w:pPr>
        <w:pStyle w:val="Heading1"/>
      </w:pPr>
      <w:r>
        <w:t>BAB III - Memungut Tanpa Mematikan</w:t>
      </w:r>
    </w:p>
    <w:tbl>
      <w:tblPr>
        <w:tblStyle w:val="TableGrid"/>
        <w:tblW w:type="auto" w:w="0"/>
        <w:jc w:val="center"/>
        <w:tblLook w:firstColumn="1" w:firstRow="1" w:lastColumn="0" w:lastRow="0" w:noHBand="0" w:noVBand="1" w:val="04A0"/>
      </w:tblPr>
      <w:tblGrid>
        <w:gridCol w:w="1935"/>
        <w:gridCol w:w="1935"/>
        <w:gridCol w:w="1935"/>
        <w:gridCol w:w="1935"/>
        <w:gridCol w:w="1935"/>
        <w:gridCol w:w="1935"/>
        <w:gridCol w:w="1935"/>
        <w:gridCol w:w="1935"/>
      </w:tblGrid>
      <w:tr>
        <w:tc>
          <w:tcPr>
            <w:tcW w:type="dxa" w:w="964"/>
            <w:shd w:fill="D9EAF7"/>
            <w:vAlign w:val="center"/>
          </w:tcPr>
          <w:p>
            <w:pPr>
              <w:jc w:val="center"/>
            </w:pPr>
            <w:r>
              <w:rPr>
                <w:rFonts w:ascii="Times New Roman" w:hAnsi="Times New Roman"/>
                <w:b/>
                <w:sz w:val="15"/>
              </w:rPr>
              <w:t>Kode</w:t>
            </w:r>
          </w:p>
        </w:tc>
        <w:tc>
          <w:tcPr>
            <w:tcW w:type="dxa" w:w="2494"/>
            <w:shd w:fill="D9EAF7"/>
            <w:vAlign w:val="center"/>
          </w:tcPr>
          <w:p>
            <w:pPr>
              <w:jc w:val="center"/>
            </w:pPr>
            <w:r>
              <w:rPr>
                <w:rFonts w:ascii="Times New Roman" w:hAnsi="Times New Roman"/>
                <w:b/>
                <w:sz w:val="15"/>
              </w:rPr>
              <w:t>Topik/Klaim</w:t>
            </w:r>
          </w:p>
        </w:tc>
        <w:tc>
          <w:tcPr>
            <w:tcW w:type="dxa" w:w="3969"/>
            <w:shd w:fill="D9EAF7"/>
            <w:vAlign w:val="center"/>
          </w:tcPr>
          <w:p>
            <w:pPr>
              <w:jc w:val="center"/>
            </w:pPr>
            <w:r>
              <w:rPr>
                <w:rFonts w:ascii="Times New Roman" w:hAnsi="Times New Roman"/>
                <w:b/>
                <w:sz w:val="15"/>
              </w:rPr>
              <w:t>Sumber primer/dokumen</w:t>
            </w:r>
          </w:p>
        </w:tc>
        <w:tc>
          <w:tcPr>
            <w:tcW w:type="dxa" w:w="1814"/>
            <w:shd w:fill="D9EAF7"/>
            <w:vAlign w:val="center"/>
          </w:tcPr>
          <w:p>
            <w:pPr>
              <w:jc w:val="center"/>
            </w:pPr>
            <w:r>
              <w:rPr>
                <w:rFonts w:ascii="Times New Roman" w:hAnsi="Times New Roman"/>
                <w:b/>
                <w:sz w:val="15"/>
              </w:rPr>
              <w:t>Jenis</w:t>
            </w:r>
          </w:p>
        </w:tc>
        <w:tc>
          <w:tcPr>
            <w:tcW w:type="dxa" w:w="1247"/>
            <w:shd w:fill="D9EAF7"/>
            <w:vAlign w:val="center"/>
          </w:tcPr>
          <w:p>
            <w:pPr>
              <w:jc w:val="center"/>
            </w:pPr>
            <w:r>
              <w:rPr>
                <w:rFonts w:ascii="Times New Roman" w:hAnsi="Times New Roman"/>
                <w:b/>
                <w:sz w:val="15"/>
              </w:rPr>
              <w:t>Periode</w:t>
            </w:r>
          </w:p>
        </w:tc>
        <w:tc>
          <w:tcPr>
            <w:tcW w:type="dxa" w:w="3402"/>
            <w:shd w:fill="D9EAF7"/>
            <w:vAlign w:val="center"/>
          </w:tcPr>
          <w:p>
            <w:pPr>
              <w:jc w:val="center"/>
            </w:pPr>
            <w:r>
              <w:rPr>
                <w:rFonts w:ascii="Times New Roman" w:hAnsi="Times New Roman"/>
                <w:b/>
                <w:sz w:val="15"/>
              </w:rPr>
              <w:t>Fungsi dalam buku</w:t>
            </w:r>
          </w:p>
        </w:tc>
        <w:tc>
          <w:tcPr>
            <w:tcW w:type="dxa" w:w="1531"/>
            <w:shd w:fill="D9EAF7"/>
            <w:vAlign w:val="center"/>
          </w:tcPr>
          <w:p>
            <w:pPr>
              <w:jc w:val="center"/>
            </w:pPr>
            <w:r>
              <w:rPr>
                <w:rFonts w:ascii="Times New Roman" w:hAnsi="Times New Roman"/>
                <w:b/>
                <w:sz w:val="15"/>
              </w:rPr>
              <w:t>Status</w:t>
            </w:r>
          </w:p>
        </w:tc>
        <w:tc>
          <w:tcPr>
            <w:tcW w:type="dxa" w:w="3969"/>
            <w:shd w:fill="D9EAF7"/>
            <w:vAlign w:val="center"/>
          </w:tcPr>
          <w:p>
            <w:pPr>
              <w:jc w:val="center"/>
            </w:pPr>
            <w:r>
              <w:rPr>
                <w:rFonts w:ascii="Times New Roman" w:hAnsi="Times New Roman"/>
                <w:b/>
                <w:sz w:val="15"/>
              </w:rPr>
              <w:t>Tautan resmi/utama</w:t>
            </w:r>
          </w:p>
        </w:tc>
      </w:tr>
      <w:tr>
        <w:trPr>
          <w:cantSplit/>
        </w:trPr>
        <w:tc>
          <w:tcPr>
            <w:tcW w:type="dxa" w:w="964"/>
            <w:vAlign w:val="top"/>
          </w:tcPr>
          <w:p>
            <w:r/>
            <w:r>
              <w:rPr>
                <w:rFonts w:ascii="Times New Roman" w:hAnsi="Times New Roman"/>
                <w:sz w:val="15"/>
              </w:rPr>
              <w:t>III-01</w:t>
            </w:r>
          </w:p>
        </w:tc>
        <w:tc>
          <w:tcPr>
            <w:tcW w:type="dxa" w:w="2494"/>
            <w:vAlign w:val="top"/>
          </w:tcPr>
          <w:p>
            <w:r/>
            <w:r>
              <w:rPr>
                <w:rFonts w:ascii="Times New Roman" w:hAnsi="Times New Roman"/>
                <w:sz w:val="15"/>
              </w:rPr>
              <w:t>Kontribusi Wajib Pajak Besar 2024</w:t>
            </w:r>
          </w:p>
        </w:tc>
        <w:tc>
          <w:tcPr>
            <w:tcW w:type="dxa" w:w="3969"/>
            <w:vAlign w:val="top"/>
          </w:tcPr>
          <w:p>
            <w:r/>
            <w:r>
              <w:rPr>
                <w:rFonts w:ascii="Times New Roman" w:hAnsi="Times New Roman"/>
                <w:sz w:val="15"/>
              </w:rPr>
              <w:t>DJP - Penerimaan Kanwil DJP Wajib Pajak Besar 2024 Kembali Lampaui Target</w:t>
            </w:r>
          </w:p>
        </w:tc>
        <w:tc>
          <w:tcPr>
            <w:tcW w:type="dxa" w:w="1814"/>
            <w:vAlign w:val="top"/>
          </w:tcPr>
          <w:p>
            <w:r/>
            <w:r>
              <w:rPr>
                <w:rFonts w:ascii="Times New Roman" w:hAnsi="Times New Roman"/>
                <w:sz w:val="15"/>
              </w:rPr>
              <w:t>DATA PUBLIK RESMI</w:t>
            </w:r>
          </w:p>
        </w:tc>
        <w:tc>
          <w:tcPr>
            <w:tcW w:type="dxa" w:w="1247"/>
            <w:vAlign w:val="top"/>
          </w:tcPr>
          <w:p>
            <w:r/>
            <w:r>
              <w:rPr>
                <w:rFonts w:ascii="Times New Roman" w:hAnsi="Times New Roman"/>
                <w:sz w:val="15"/>
              </w:rPr>
              <w:t>2024/2025</w:t>
            </w:r>
          </w:p>
        </w:tc>
        <w:tc>
          <w:tcPr>
            <w:tcW w:type="dxa" w:w="3402"/>
            <w:vAlign w:val="top"/>
          </w:tcPr>
          <w:p>
            <w:r/>
            <w:r>
              <w:rPr>
                <w:rFonts w:ascii="Times New Roman" w:hAnsi="Times New Roman"/>
                <w:sz w:val="15"/>
              </w:rPr>
              <w:t>Basis angka Rp571,37 triliun dan 29,57% kontribusi nasional.</w:t>
            </w:r>
          </w:p>
        </w:tc>
        <w:tc>
          <w:tcPr>
            <w:tcW w:type="dxa" w:w="1531"/>
            <w:vAlign w:val="top"/>
          </w:tcPr>
          <w:p>
            <w:r/>
            <w:r>
              <w:rPr>
                <w:rFonts w:ascii="Times New Roman" w:hAnsi="Times New Roman"/>
                <w:sz w:val="15"/>
              </w:rPr>
              <w:t>Eksplisit/utama</w:t>
            </w:r>
          </w:p>
        </w:tc>
        <w:tc>
          <w:tcPr>
            <w:tcW w:type="dxa" w:w="3969"/>
            <w:vAlign w:val="top"/>
          </w:tcPr>
          <w:p>
            <w:r/>
            <w:hyperlink r:id="rId19">
              <w:r>
                <w:rPr>
                  <w:color w:val="0563C1"/>
                  <w:u w:val="single"/>
                </w:rPr>
                <w:t>https://pajak.go.id/id/siaran-pers/penerimaan-kanwil-djp-wajib-pajak-besar-2024-kembali-lampaui-target</w:t>
              </w:r>
            </w:hyperlink>
          </w:p>
        </w:tc>
      </w:tr>
      <w:tr>
        <w:trPr>
          <w:cantSplit/>
        </w:trPr>
        <w:tc>
          <w:tcPr>
            <w:tcW w:type="dxa" w:w="964"/>
            <w:vAlign w:val="top"/>
          </w:tcPr>
          <w:p>
            <w:r/>
            <w:r>
              <w:rPr>
                <w:rFonts w:ascii="Times New Roman" w:hAnsi="Times New Roman"/>
                <w:sz w:val="15"/>
              </w:rPr>
              <w:t>III-02</w:t>
            </w:r>
          </w:p>
        </w:tc>
        <w:tc>
          <w:tcPr>
            <w:tcW w:type="dxa" w:w="2494"/>
            <w:vAlign w:val="top"/>
          </w:tcPr>
          <w:p>
            <w:r/>
            <w:r>
              <w:rPr>
                <w:rFonts w:ascii="Times New Roman" w:hAnsi="Times New Roman"/>
                <w:sz w:val="15"/>
              </w:rPr>
              <w:t>PPh Final UMKM 0,5%</w:t>
            </w:r>
          </w:p>
        </w:tc>
        <w:tc>
          <w:tcPr>
            <w:tcW w:type="dxa" w:w="3969"/>
            <w:vAlign w:val="top"/>
          </w:tcPr>
          <w:p>
            <w:r/>
            <w:r>
              <w:rPr>
                <w:rFonts w:ascii="Times New Roman" w:hAnsi="Times New Roman"/>
                <w:sz w:val="15"/>
              </w:rPr>
              <w:t>PP Nomor 20 Tahun 2026 tentang Perubahan atas PP Nomor 55 Tahun 2022</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2026</w:t>
            </w:r>
          </w:p>
        </w:tc>
        <w:tc>
          <w:tcPr>
            <w:tcW w:type="dxa" w:w="3402"/>
            <w:vAlign w:val="top"/>
          </w:tcPr>
          <w:p>
            <w:r/>
            <w:r>
              <w:rPr>
                <w:rFonts w:ascii="Times New Roman" w:hAnsi="Times New Roman"/>
                <w:sz w:val="15"/>
              </w:rPr>
              <w:t>Basis pengaturan PPh final atas WP dengan peredaran bruto tertentu.</w:t>
            </w:r>
          </w:p>
        </w:tc>
        <w:tc>
          <w:tcPr>
            <w:tcW w:type="dxa" w:w="1531"/>
            <w:vAlign w:val="top"/>
          </w:tcPr>
          <w:p>
            <w:r/>
            <w:r>
              <w:rPr>
                <w:rFonts w:ascii="Times New Roman" w:hAnsi="Times New Roman"/>
                <w:sz w:val="15"/>
              </w:rPr>
              <w:t>Eksplisit/utama</w:t>
            </w:r>
          </w:p>
        </w:tc>
        <w:tc>
          <w:tcPr>
            <w:tcW w:type="dxa" w:w="3969"/>
            <w:vAlign w:val="top"/>
          </w:tcPr>
          <w:p>
            <w:r/>
            <w:hyperlink r:id="rId20">
              <w:r>
                <w:rPr>
                  <w:color w:val="0563C1"/>
                  <w:u w:val="single"/>
                </w:rPr>
                <w:t>https://jdih.kemenkeu.go.id/dok/pp-20-tahun-2026/summary</w:t>
              </w:r>
            </w:hyperlink>
          </w:p>
        </w:tc>
      </w:tr>
      <w:tr>
        <w:trPr>
          <w:cantSplit/>
        </w:trPr>
        <w:tc>
          <w:tcPr>
            <w:tcW w:type="dxa" w:w="964"/>
            <w:vAlign w:val="top"/>
          </w:tcPr>
          <w:p>
            <w:r/>
            <w:r>
              <w:rPr>
                <w:rFonts w:ascii="Times New Roman" w:hAnsi="Times New Roman"/>
                <w:sz w:val="15"/>
              </w:rPr>
              <w:t>III-03</w:t>
            </w:r>
          </w:p>
        </w:tc>
        <w:tc>
          <w:tcPr>
            <w:tcW w:type="dxa" w:w="2494"/>
            <w:vAlign w:val="top"/>
          </w:tcPr>
          <w:p>
            <w:r/>
            <w:r>
              <w:rPr>
                <w:rFonts w:ascii="Times New Roman" w:hAnsi="Times New Roman"/>
                <w:sz w:val="15"/>
              </w:rPr>
              <w:t>Tarif PPN dan desain HPP</w:t>
            </w:r>
          </w:p>
        </w:tc>
        <w:tc>
          <w:tcPr>
            <w:tcW w:type="dxa" w:w="3969"/>
            <w:vAlign w:val="top"/>
          </w:tcPr>
          <w:p>
            <w:r/>
            <w:r>
              <w:rPr>
                <w:rFonts w:ascii="Times New Roman" w:hAnsi="Times New Roman"/>
                <w:sz w:val="15"/>
              </w:rPr>
              <w:t>UU Nomor 7 Tahun 2021 tentang Harmonisasi Peraturan Perpajakan</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2021</w:t>
            </w:r>
          </w:p>
        </w:tc>
        <w:tc>
          <w:tcPr>
            <w:tcW w:type="dxa" w:w="3402"/>
            <w:vAlign w:val="top"/>
          </w:tcPr>
          <w:p>
            <w:r/>
            <w:r>
              <w:rPr>
                <w:rFonts w:ascii="Times New Roman" w:hAnsi="Times New Roman"/>
                <w:sz w:val="15"/>
              </w:rPr>
              <w:t>Landasan perubahan tarif PPN dan kerangka perpajakan yang dirujuk.</w:t>
            </w:r>
          </w:p>
        </w:tc>
        <w:tc>
          <w:tcPr>
            <w:tcW w:type="dxa" w:w="1531"/>
            <w:vAlign w:val="top"/>
          </w:tcPr>
          <w:p>
            <w:r/>
            <w:r>
              <w:rPr>
                <w:rFonts w:ascii="Times New Roman" w:hAnsi="Times New Roman"/>
                <w:sz w:val="15"/>
              </w:rPr>
              <w:t>Eksplisit/utama</w:t>
            </w:r>
          </w:p>
        </w:tc>
        <w:tc>
          <w:tcPr>
            <w:tcW w:type="dxa" w:w="3969"/>
            <w:vAlign w:val="top"/>
          </w:tcPr>
          <w:p>
            <w:r/>
            <w:hyperlink r:id="rId21">
              <w:r>
                <w:rPr>
                  <w:color w:val="0563C1"/>
                  <w:u w:val="single"/>
                </w:rPr>
                <w:t>https://peraturan.bpk.go.id/Details/185162/uu-no-7-tahun-2021</w:t>
              </w:r>
            </w:hyperlink>
          </w:p>
        </w:tc>
      </w:tr>
      <w:tr>
        <w:trPr>
          <w:cantSplit/>
        </w:trPr>
        <w:tc>
          <w:tcPr>
            <w:tcW w:type="dxa" w:w="964"/>
            <w:vAlign w:val="top"/>
          </w:tcPr>
          <w:p>
            <w:r/>
            <w:r>
              <w:rPr>
                <w:rFonts w:ascii="Times New Roman" w:hAnsi="Times New Roman"/>
                <w:sz w:val="15"/>
              </w:rPr>
              <w:t>III-04</w:t>
            </w:r>
          </w:p>
        </w:tc>
        <w:tc>
          <w:tcPr>
            <w:tcW w:type="dxa" w:w="2494"/>
            <w:vAlign w:val="top"/>
          </w:tcPr>
          <w:p>
            <w:r/>
            <w:r>
              <w:rPr>
                <w:rFonts w:ascii="Times New Roman" w:hAnsi="Times New Roman"/>
                <w:sz w:val="15"/>
              </w:rPr>
              <w:t>DPP nilai lain PPN 2025</w:t>
            </w:r>
          </w:p>
        </w:tc>
        <w:tc>
          <w:tcPr>
            <w:tcW w:type="dxa" w:w="3969"/>
            <w:vAlign w:val="top"/>
          </w:tcPr>
          <w:p>
            <w:r/>
            <w:r>
              <w:rPr>
                <w:rFonts w:ascii="Times New Roman" w:hAnsi="Times New Roman"/>
                <w:sz w:val="15"/>
              </w:rPr>
              <w:t>PMK Nomor 131 Tahun 2024</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2024/2025</w:t>
            </w:r>
          </w:p>
        </w:tc>
        <w:tc>
          <w:tcPr>
            <w:tcW w:type="dxa" w:w="3402"/>
            <w:vAlign w:val="top"/>
          </w:tcPr>
          <w:p>
            <w:r/>
            <w:r>
              <w:rPr>
                <w:rFonts w:ascii="Times New Roman" w:hAnsi="Times New Roman"/>
                <w:sz w:val="15"/>
              </w:rPr>
              <w:t>Basis perlakuan PPN 2025 termasuk nilai lain/DPP sesuai ketentuan.</w:t>
            </w:r>
          </w:p>
        </w:tc>
        <w:tc>
          <w:tcPr>
            <w:tcW w:type="dxa" w:w="1531"/>
            <w:vAlign w:val="top"/>
          </w:tcPr>
          <w:p>
            <w:r/>
            <w:r>
              <w:rPr>
                <w:rFonts w:ascii="Times New Roman" w:hAnsi="Times New Roman"/>
                <w:sz w:val="15"/>
              </w:rPr>
              <w:t>Eksplisit/utama</w:t>
            </w:r>
          </w:p>
        </w:tc>
        <w:tc>
          <w:tcPr>
            <w:tcW w:type="dxa" w:w="3969"/>
            <w:vAlign w:val="top"/>
          </w:tcPr>
          <w:p>
            <w:r/>
            <w:hyperlink r:id="rId22">
              <w:r>
                <w:rPr>
                  <w:color w:val="0563C1"/>
                  <w:u w:val="single"/>
                </w:rPr>
                <w:t>https://jdih.kemenkeu.go.id/dok/pmk-131-tahun-2024</w:t>
              </w:r>
            </w:hyperlink>
          </w:p>
        </w:tc>
      </w:tr>
      <w:tr>
        <w:trPr>
          <w:cantSplit/>
        </w:trPr>
        <w:tc>
          <w:tcPr>
            <w:tcW w:type="dxa" w:w="964"/>
            <w:vAlign w:val="top"/>
          </w:tcPr>
          <w:p>
            <w:r/>
            <w:r>
              <w:rPr>
                <w:rFonts w:ascii="Times New Roman" w:hAnsi="Times New Roman"/>
                <w:sz w:val="15"/>
              </w:rPr>
              <w:t>III-05</w:t>
            </w:r>
          </w:p>
        </w:tc>
        <w:tc>
          <w:tcPr>
            <w:tcW w:type="dxa" w:w="2494"/>
            <w:vAlign w:val="top"/>
          </w:tcPr>
          <w:p>
            <w:r/>
            <w:r>
              <w:rPr>
                <w:rFonts w:ascii="Times New Roman" w:hAnsi="Times New Roman"/>
                <w:sz w:val="15"/>
              </w:rPr>
              <w:t>Struktur DBH dan konteks PPN</w:t>
            </w:r>
          </w:p>
        </w:tc>
        <w:tc>
          <w:tcPr>
            <w:tcW w:type="dxa" w:w="3969"/>
            <w:vAlign w:val="top"/>
          </w:tcPr>
          <w:p>
            <w:r/>
            <w:r>
              <w:rPr>
                <w:rFonts w:ascii="Times New Roman" w:hAnsi="Times New Roman"/>
                <w:sz w:val="15"/>
              </w:rPr>
              <w:t>Nota Keuangan beserta RAPBN Tahun Anggaran 2026</w:t>
            </w:r>
          </w:p>
        </w:tc>
        <w:tc>
          <w:tcPr>
            <w:tcW w:type="dxa" w:w="1814"/>
            <w:vAlign w:val="top"/>
          </w:tcPr>
          <w:p>
            <w:r/>
            <w:r>
              <w:rPr>
                <w:rFonts w:ascii="Times New Roman" w:hAnsi="Times New Roman"/>
                <w:sz w:val="15"/>
              </w:rPr>
              <w:t>DATA PUBLIK RESMI</w:t>
            </w:r>
          </w:p>
        </w:tc>
        <w:tc>
          <w:tcPr>
            <w:tcW w:type="dxa" w:w="1247"/>
            <w:vAlign w:val="top"/>
          </w:tcPr>
          <w:p>
            <w:r/>
            <w:r>
              <w:rPr>
                <w:rFonts w:ascii="Times New Roman" w:hAnsi="Times New Roman"/>
                <w:sz w:val="15"/>
              </w:rPr>
              <w:t>2026</w:t>
            </w:r>
          </w:p>
        </w:tc>
        <w:tc>
          <w:tcPr>
            <w:tcW w:type="dxa" w:w="3402"/>
            <w:vAlign w:val="top"/>
          </w:tcPr>
          <w:p>
            <w:r/>
            <w:r>
              <w:rPr>
                <w:rFonts w:ascii="Times New Roman" w:hAnsi="Times New Roman"/>
                <w:sz w:val="15"/>
              </w:rPr>
              <w:t>Basis pernyataan struktur DBH pajak dalam desain fiskal berjalan; PPN-sharing diposisikan sebagai hipotesis, bukan DBH berjalan.</w:t>
            </w:r>
          </w:p>
        </w:tc>
        <w:tc>
          <w:tcPr>
            <w:tcW w:type="dxa" w:w="1531"/>
            <w:vAlign w:val="top"/>
          </w:tcPr>
          <w:p>
            <w:r/>
            <w:r>
              <w:rPr>
                <w:rFonts w:ascii="Times New Roman" w:hAnsi="Times New Roman"/>
                <w:sz w:val="15"/>
              </w:rPr>
              <w:t>Eksplisit/utama</w:t>
            </w:r>
          </w:p>
        </w:tc>
        <w:tc>
          <w:tcPr>
            <w:tcW w:type="dxa" w:w="3969"/>
            <w:vAlign w:val="top"/>
          </w:tcPr>
          <w:p>
            <w:r/>
            <w:hyperlink r:id="rId23">
              <w:r>
                <w:rPr>
                  <w:color w:val="0563C1"/>
                  <w:u w:val="single"/>
                </w:rPr>
                <w:t>https://anggaran.kemenkeu.go.id/api/Medias/507d21b0-2abe-4d75-86aa-dc3efe505843</w:t>
              </w:r>
            </w:hyperlink>
          </w:p>
        </w:tc>
      </w:tr>
      <w:tr>
        <w:trPr>
          <w:cantSplit/>
        </w:trPr>
        <w:tc>
          <w:tcPr>
            <w:tcW w:type="dxa" w:w="964"/>
            <w:vAlign w:val="top"/>
          </w:tcPr>
          <w:p>
            <w:r/>
            <w:r>
              <w:rPr>
                <w:rFonts w:ascii="Times New Roman" w:hAnsi="Times New Roman"/>
                <w:sz w:val="15"/>
              </w:rPr>
              <w:t>III-06</w:t>
            </w:r>
          </w:p>
        </w:tc>
        <w:tc>
          <w:tcPr>
            <w:tcW w:type="dxa" w:w="2494"/>
            <w:vAlign w:val="top"/>
          </w:tcPr>
          <w:p>
            <w:r/>
            <w:r>
              <w:rPr>
                <w:rFonts w:ascii="Times New Roman" w:hAnsi="Times New Roman"/>
                <w:sz w:val="15"/>
              </w:rPr>
              <w:t>Destination principle PPN</w:t>
            </w:r>
          </w:p>
        </w:tc>
        <w:tc>
          <w:tcPr>
            <w:tcW w:type="dxa" w:w="3969"/>
            <w:vAlign w:val="top"/>
          </w:tcPr>
          <w:p>
            <w:r/>
            <w:r>
              <w:rPr>
                <w:rFonts w:ascii="Times New Roman" w:hAnsi="Times New Roman"/>
                <w:sz w:val="15"/>
              </w:rPr>
              <w:t>OECD International VAT/GST Guidelines</w:t>
            </w:r>
          </w:p>
        </w:tc>
        <w:tc>
          <w:tcPr>
            <w:tcW w:type="dxa" w:w="1814"/>
            <w:vAlign w:val="top"/>
          </w:tcPr>
          <w:p>
            <w:r/>
            <w:r>
              <w:rPr>
                <w:rFonts w:ascii="Times New Roman" w:hAnsi="Times New Roman"/>
                <w:sz w:val="15"/>
              </w:rPr>
              <w:t>REFERENSI KONSEPTUAL PRIMER</w:t>
            </w:r>
          </w:p>
        </w:tc>
        <w:tc>
          <w:tcPr>
            <w:tcW w:type="dxa" w:w="1247"/>
            <w:vAlign w:val="top"/>
          </w:tcPr>
          <w:p>
            <w:r/>
            <w:r>
              <w:rPr>
                <w:rFonts w:ascii="Times New Roman" w:hAnsi="Times New Roman"/>
                <w:sz w:val="15"/>
              </w:rPr>
              <w:t>2017</w:t>
            </w:r>
          </w:p>
        </w:tc>
        <w:tc>
          <w:tcPr>
            <w:tcW w:type="dxa" w:w="3402"/>
            <w:vAlign w:val="top"/>
          </w:tcPr>
          <w:p>
            <w:r/>
            <w:r>
              <w:rPr>
                <w:rFonts w:ascii="Times New Roman" w:hAnsi="Times New Roman"/>
                <w:sz w:val="15"/>
              </w:rPr>
              <w:t>Referensi konseptual destination principle dan jurisdiction of consumption; bukan dasar hukum DBH domestik.</w:t>
            </w:r>
          </w:p>
        </w:tc>
        <w:tc>
          <w:tcPr>
            <w:tcW w:type="dxa" w:w="1531"/>
            <w:vAlign w:val="top"/>
          </w:tcPr>
          <w:p>
            <w:r/>
            <w:r>
              <w:rPr>
                <w:rFonts w:ascii="Times New Roman" w:hAnsi="Times New Roman"/>
                <w:sz w:val="15"/>
              </w:rPr>
              <w:t>Eksplisit/utama</w:t>
            </w:r>
          </w:p>
        </w:tc>
        <w:tc>
          <w:tcPr>
            <w:tcW w:type="dxa" w:w="3969"/>
            <w:vAlign w:val="top"/>
          </w:tcPr>
          <w:p>
            <w:r/>
            <w:hyperlink r:id="rId24">
              <w:r>
                <w:rPr>
                  <w:color w:val="0563C1"/>
                  <w:u w:val="single"/>
                </w:rPr>
                <w:t>https://www.oecd.org/content/dam/oecd/en/publications/reports/2017/04/international-vat-gst-guidelines_g1g75db4/9789264271401-en.pdf</w:t>
              </w:r>
            </w:hyperlink>
          </w:p>
        </w:tc>
      </w:tr>
      <w:tr>
        <w:trPr>
          <w:cantSplit/>
        </w:trPr>
        <w:tc>
          <w:tcPr>
            <w:tcW w:type="dxa" w:w="964"/>
            <w:vAlign w:val="top"/>
          </w:tcPr>
          <w:p>
            <w:r/>
            <w:r>
              <w:rPr>
                <w:rFonts w:ascii="Times New Roman" w:hAnsi="Times New Roman"/>
                <w:sz w:val="15"/>
              </w:rPr>
              <w:t>III-07</w:t>
            </w:r>
          </w:p>
        </w:tc>
        <w:tc>
          <w:tcPr>
            <w:tcW w:type="dxa" w:w="2494"/>
            <w:vAlign w:val="top"/>
          </w:tcPr>
          <w:p>
            <w:r/>
            <w:r>
              <w:rPr>
                <w:rFonts w:ascii="Times New Roman" w:hAnsi="Times New Roman"/>
                <w:sz w:val="15"/>
              </w:rPr>
              <w:t>Hubungan keuangan pusat-daerah</w:t>
            </w:r>
          </w:p>
        </w:tc>
        <w:tc>
          <w:tcPr>
            <w:tcW w:type="dxa" w:w="3969"/>
            <w:vAlign w:val="top"/>
          </w:tcPr>
          <w:p>
            <w:r/>
            <w:r>
              <w:rPr>
                <w:rFonts w:ascii="Times New Roman" w:hAnsi="Times New Roman"/>
                <w:sz w:val="15"/>
              </w:rPr>
              <w:t>UU Nomor 1 Tahun 2022 tentang HKPD</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2022</w:t>
            </w:r>
          </w:p>
        </w:tc>
        <w:tc>
          <w:tcPr>
            <w:tcW w:type="dxa" w:w="3402"/>
            <w:vAlign w:val="top"/>
          </w:tcPr>
          <w:p>
            <w:r/>
            <w:r>
              <w:rPr>
                <w:rFonts w:ascii="Times New Roman" w:hAnsi="Times New Roman"/>
                <w:sz w:val="15"/>
              </w:rPr>
              <w:t>Basis pajak/retribusi daerah, TKD, belanja dan pembiayaan daerah.</w:t>
            </w:r>
          </w:p>
        </w:tc>
        <w:tc>
          <w:tcPr>
            <w:tcW w:type="dxa" w:w="1531"/>
            <w:vAlign w:val="top"/>
          </w:tcPr>
          <w:p>
            <w:r/>
            <w:r>
              <w:rPr>
                <w:rFonts w:ascii="Times New Roman" w:hAnsi="Times New Roman"/>
                <w:sz w:val="15"/>
              </w:rPr>
              <w:t>Eksplisit/utama</w:t>
            </w:r>
          </w:p>
        </w:tc>
        <w:tc>
          <w:tcPr>
            <w:tcW w:type="dxa" w:w="3969"/>
            <w:vAlign w:val="top"/>
          </w:tcPr>
          <w:p>
            <w:r/>
            <w:hyperlink r:id="rId25">
              <w:r>
                <w:rPr>
                  <w:color w:val="0563C1"/>
                  <w:u w:val="single"/>
                </w:rPr>
                <w:t>https://peraturan.bpk.go.id/Details/195696/uu-no-1-tahun-2022</w:t>
              </w:r>
            </w:hyperlink>
          </w:p>
        </w:tc>
      </w:tr>
      <w:tr>
        <w:trPr>
          <w:cantSplit/>
        </w:trPr>
        <w:tc>
          <w:tcPr>
            <w:tcW w:type="dxa" w:w="964"/>
            <w:vAlign w:val="top"/>
          </w:tcPr>
          <w:p>
            <w:r/>
            <w:r>
              <w:rPr>
                <w:rFonts w:ascii="Times New Roman" w:hAnsi="Times New Roman"/>
                <w:sz w:val="15"/>
              </w:rPr>
              <w:t>III-08</w:t>
            </w:r>
          </w:p>
        </w:tc>
        <w:tc>
          <w:tcPr>
            <w:tcW w:type="dxa" w:w="2494"/>
            <w:vAlign w:val="top"/>
          </w:tcPr>
          <w:p>
            <w:r/>
            <w:r>
              <w:rPr>
                <w:rFonts w:ascii="Times New Roman" w:hAnsi="Times New Roman"/>
                <w:sz w:val="15"/>
              </w:rPr>
              <w:t>Pajak Daerah dan Retribusi Daerah</w:t>
            </w:r>
          </w:p>
        </w:tc>
        <w:tc>
          <w:tcPr>
            <w:tcW w:type="dxa" w:w="3969"/>
            <w:vAlign w:val="top"/>
          </w:tcPr>
          <w:p>
            <w:r/>
            <w:r>
              <w:rPr>
                <w:rFonts w:ascii="Times New Roman" w:hAnsi="Times New Roman"/>
                <w:sz w:val="15"/>
              </w:rPr>
              <w:t>PP Nomor 35 Tahun 2023 tentang Ketentuan Umum PDRD</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2023</w:t>
            </w:r>
          </w:p>
        </w:tc>
        <w:tc>
          <w:tcPr>
            <w:tcW w:type="dxa" w:w="3402"/>
            <w:vAlign w:val="top"/>
          </w:tcPr>
          <w:p>
            <w:r/>
            <w:r>
              <w:rPr>
                <w:rFonts w:ascii="Times New Roman" w:hAnsi="Times New Roman"/>
                <w:sz w:val="15"/>
              </w:rPr>
              <w:t>Basis pemungutan, opsen, dukungan iklim usaha/investasi dan tata kelola PDRD.</w:t>
            </w:r>
          </w:p>
        </w:tc>
        <w:tc>
          <w:tcPr>
            <w:tcW w:type="dxa" w:w="1531"/>
            <w:vAlign w:val="top"/>
          </w:tcPr>
          <w:p>
            <w:r/>
            <w:r>
              <w:rPr>
                <w:rFonts w:ascii="Times New Roman" w:hAnsi="Times New Roman"/>
                <w:sz w:val="15"/>
              </w:rPr>
              <w:t>Eksplisit/utama</w:t>
            </w:r>
          </w:p>
        </w:tc>
        <w:tc>
          <w:tcPr>
            <w:tcW w:type="dxa" w:w="3969"/>
            <w:vAlign w:val="top"/>
          </w:tcPr>
          <w:p>
            <w:r/>
            <w:hyperlink r:id="rId26">
              <w:r>
                <w:rPr>
                  <w:color w:val="0563C1"/>
                  <w:u w:val="single"/>
                </w:rPr>
                <w:t>https://peraturan.bpk.go.id/Details/252130/pp-no-35-tahun-2023</w:t>
              </w:r>
            </w:hyperlink>
          </w:p>
        </w:tc>
      </w:tr>
      <w:tr>
        <w:trPr>
          <w:cantSplit/>
        </w:trPr>
        <w:tc>
          <w:tcPr>
            <w:tcW w:type="dxa" w:w="964"/>
            <w:vAlign w:val="top"/>
          </w:tcPr>
          <w:p>
            <w:r/>
            <w:r>
              <w:rPr>
                <w:rFonts w:ascii="Times New Roman" w:hAnsi="Times New Roman"/>
                <w:sz w:val="15"/>
              </w:rPr>
              <w:t>III-09</w:t>
            </w:r>
          </w:p>
        </w:tc>
        <w:tc>
          <w:tcPr>
            <w:tcW w:type="dxa" w:w="2494"/>
            <w:vAlign w:val="top"/>
          </w:tcPr>
          <w:p>
            <w:r/>
            <w:r>
              <w:rPr>
                <w:rFonts w:ascii="Times New Roman" w:hAnsi="Times New Roman"/>
                <w:sz w:val="15"/>
              </w:rPr>
              <w:t>RCR, TBHI, Revenue Quality Dashboard</w:t>
            </w:r>
          </w:p>
        </w:tc>
        <w:tc>
          <w:tcPr>
            <w:tcW w:type="dxa" w:w="3969"/>
            <w:vAlign w:val="top"/>
          </w:tcPr>
          <w:p>
            <w:r/>
            <w:r>
              <w:rPr>
                <w:rFonts w:ascii="Times New Roman" w:hAnsi="Times New Roman"/>
                <w:sz w:val="15"/>
              </w:rPr>
              <w:t>Kerangka penulis</w:t>
            </w:r>
          </w:p>
        </w:tc>
        <w:tc>
          <w:tcPr>
            <w:tcW w:type="dxa" w:w="1814"/>
            <w:vAlign w:val="top"/>
          </w:tcPr>
          <w:p>
            <w:r/>
            <w:r>
              <w:rPr>
                <w:rFonts w:ascii="Times New Roman" w:hAnsi="Times New Roman"/>
                <w:sz w:val="15"/>
              </w:rPr>
              <w:t>KERANGKA PENULIS</w:t>
            </w:r>
          </w:p>
        </w:tc>
        <w:tc>
          <w:tcPr>
            <w:tcW w:type="dxa" w:w="1247"/>
            <w:vAlign w:val="top"/>
          </w:tcPr>
          <w:p>
            <w:r/>
            <w:r>
              <w:rPr>
                <w:rFonts w:ascii="Times New Roman" w:hAnsi="Times New Roman"/>
                <w:sz w:val="15"/>
              </w:rPr>
              <w:t>2026</w:t>
            </w:r>
          </w:p>
        </w:tc>
        <w:tc>
          <w:tcPr>
            <w:tcW w:type="dxa" w:w="3402"/>
            <w:vAlign w:val="top"/>
          </w:tcPr>
          <w:p>
            <w:r/>
            <w:r>
              <w:rPr>
                <w:rFonts w:ascii="Times New Roman" w:hAnsi="Times New Roman"/>
                <w:sz w:val="15"/>
              </w:rPr>
              <w:t>Pilot/diagnostic framework; bukan indikator resmi. Metodologi wajib diuji sebelum penggunaan statistik.</w:t>
            </w:r>
          </w:p>
        </w:tc>
        <w:tc>
          <w:tcPr>
            <w:tcW w:type="dxa" w:w="1531"/>
            <w:vAlign w:val="top"/>
          </w:tcPr>
          <w:p>
            <w:r/>
            <w:r>
              <w:rPr>
                <w:rFonts w:ascii="Times New Roman" w:hAnsi="Times New Roman"/>
                <w:sz w:val="15"/>
              </w:rPr>
              <w:t>Author framework</w:t>
            </w:r>
          </w:p>
        </w:tc>
        <w:tc>
          <w:tcPr>
            <w:tcW w:type="dxa" w:w="3969"/>
            <w:vAlign w:val="top"/>
          </w:tcPr>
          <w:p>
            <w:r/>
            <w:r>
              <w:rPr>
                <w:rFonts w:ascii="Times New Roman" w:hAnsi="Times New Roman"/>
                <w:sz w:val="15"/>
              </w:rPr>
              <w:t>—</w:t>
            </w:r>
          </w:p>
        </w:tc>
      </w:tr>
    </w:tbl>
    <w:p/>
    <w:p>
      <w:pPr>
        <w:pStyle w:val="Heading1"/>
      </w:pPr>
      <w:r>
        <w:t>BAB IV - Setelah Tanahnya Digali, Apa yang Tersisa?</w:t>
      </w:r>
    </w:p>
    <w:tbl>
      <w:tblPr>
        <w:tblStyle w:val="TableGrid"/>
        <w:tblW w:type="auto" w:w="0"/>
        <w:jc w:val="center"/>
        <w:tblLook w:firstColumn="1" w:firstRow="1" w:lastColumn="0" w:lastRow="0" w:noHBand="0" w:noVBand="1" w:val="04A0"/>
      </w:tblPr>
      <w:tblGrid>
        <w:gridCol w:w="1935"/>
        <w:gridCol w:w="1935"/>
        <w:gridCol w:w="1935"/>
        <w:gridCol w:w="1935"/>
        <w:gridCol w:w="1935"/>
        <w:gridCol w:w="1935"/>
        <w:gridCol w:w="1935"/>
        <w:gridCol w:w="1935"/>
      </w:tblGrid>
      <w:tr>
        <w:tc>
          <w:tcPr>
            <w:tcW w:type="dxa" w:w="964"/>
            <w:shd w:fill="D9EAF7"/>
            <w:vAlign w:val="center"/>
          </w:tcPr>
          <w:p>
            <w:pPr>
              <w:jc w:val="center"/>
            </w:pPr>
            <w:r>
              <w:rPr>
                <w:rFonts w:ascii="Times New Roman" w:hAnsi="Times New Roman"/>
                <w:b/>
                <w:sz w:val="15"/>
              </w:rPr>
              <w:t>Kode</w:t>
            </w:r>
          </w:p>
        </w:tc>
        <w:tc>
          <w:tcPr>
            <w:tcW w:type="dxa" w:w="2494"/>
            <w:shd w:fill="D9EAF7"/>
            <w:vAlign w:val="center"/>
          </w:tcPr>
          <w:p>
            <w:pPr>
              <w:jc w:val="center"/>
            </w:pPr>
            <w:r>
              <w:rPr>
                <w:rFonts w:ascii="Times New Roman" w:hAnsi="Times New Roman"/>
                <w:b/>
                <w:sz w:val="15"/>
              </w:rPr>
              <w:t>Topik/Klaim</w:t>
            </w:r>
          </w:p>
        </w:tc>
        <w:tc>
          <w:tcPr>
            <w:tcW w:type="dxa" w:w="3969"/>
            <w:shd w:fill="D9EAF7"/>
            <w:vAlign w:val="center"/>
          </w:tcPr>
          <w:p>
            <w:pPr>
              <w:jc w:val="center"/>
            </w:pPr>
            <w:r>
              <w:rPr>
                <w:rFonts w:ascii="Times New Roman" w:hAnsi="Times New Roman"/>
                <w:b/>
                <w:sz w:val="15"/>
              </w:rPr>
              <w:t>Sumber primer/dokumen</w:t>
            </w:r>
          </w:p>
        </w:tc>
        <w:tc>
          <w:tcPr>
            <w:tcW w:type="dxa" w:w="1814"/>
            <w:shd w:fill="D9EAF7"/>
            <w:vAlign w:val="center"/>
          </w:tcPr>
          <w:p>
            <w:pPr>
              <w:jc w:val="center"/>
            </w:pPr>
            <w:r>
              <w:rPr>
                <w:rFonts w:ascii="Times New Roman" w:hAnsi="Times New Roman"/>
                <w:b/>
                <w:sz w:val="15"/>
              </w:rPr>
              <w:t>Jenis</w:t>
            </w:r>
          </w:p>
        </w:tc>
        <w:tc>
          <w:tcPr>
            <w:tcW w:type="dxa" w:w="1247"/>
            <w:shd w:fill="D9EAF7"/>
            <w:vAlign w:val="center"/>
          </w:tcPr>
          <w:p>
            <w:pPr>
              <w:jc w:val="center"/>
            </w:pPr>
            <w:r>
              <w:rPr>
                <w:rFonts w:ascii="Times New Roman" w:hAnsi="Times New Roman"/>
                <w:b/>
                <w:sz w:val="15"/>
              </w:rPr>
              <w:t>Periode</w:t>
            </w:r>
          </w:p>
        </w:tc>
        <w:tc>
          <w:tcPr>
            <w:tcW w:type="dxa" w:w="3402"/>
            <w:shd w:fill="D9EAF7"/>
            <w:vAlign w:val="center"/>
          </w:tcPr>
          <w:p>
            <w:pPr>
              <w:jc w:val="center"/>
            </w:pPr>
            <w:r>
              <w:rPr>
                <w:rFonts w:ascii="Times New Roman" w:hAnsi="Times New Roman"/>
                <w:b/>
                <w:sz w:val="15"/>
              </w:rPr>
              <w:t>Fungsi dalam buku</w:t>
            </w:r>
          </w:p>
        </w:tc>
        <w:tc>
          <w:tcPr>
            <w:tcW w:type="dxa" w:w="1531"/>
            <w:shd w:fill="D9EAF7"/>
            <w:vAlign w:val="center"/>
          </w:tcPr>
          <w:p>
            <w:pPr>
              <w:jc w:val="center"/>
            </w:pPr>
            <w:r>
              <w:rPr>
                <w:rFonts w:ascii="Times New Roman" w:hAnsi="Times New Roman"/>
                <w:b/>
                <w:sz w:val="15"/>
              </w:rPr>
              <w:t>Status</w:t>
            </w:r>
          </w:p>
        </w:tc>
        <w:tc>
          <w:tcPr>
            <w:tcW w:type="dxa" w:w="3969"/>
            <w:shd w:fill="D9EAF7"/>
            <w:vAlign w:val="center"/>
          </w:tcPr>
          <w:p>
            <w:pPr>
              <w:jc w:val="center"/>
            </w:pPr>
            <w:r>
              <w:rPr>
                <w:rFonts w:ascii="Times New Roman" w:hAnsi="Times New Roman"/>
                <w:b/>
                <w:sz w:val="15"/>
              </w:rPr>
              <w:t>Tautan resmi/utama</w:t>
            </w:r>
          </w:p>
        </w:tc>
      </w:tr>
      <w:tr>
        <w:trPr>
          <w:cantSplit/>
        </w:trPr>
        <w:tc>
          <w:tcPr>
            <w:tcW w:type="dxa" w:w="964"/>
            <w:vAlign w:val="top"/>
          </w:tcPr>
          <w:p>
            <w:r/>
            <w:r>
              <w:rPr>
                <w:rFonts w:ascii="Times New Roman" w:hAnsi="Times New Roman"/>
                <w:sz w:val="15"/>
              </w:rPr>
              <w:t>IV-01</w:t>
            </w:r>
          </w:p>
        </w:tc>
        <w:tc>
          <w:tcPr>
            <w:tcW w:type="dxa" w:w="2494"/>
            <w:vAlign w:val="top"/>
          </w:tcPr>
          <w:p>
            <w:r/>
            <w:r>
              <w:rPr>
                <w:rFonts w:ascii="Times New Roman" w:hAnsi="Times New Roman"/>
                <w:sz w:val="15"/>
              </w:rPr>
              <w:t>Stok, ekstraksi dan deplesi SDA</w:t>
            </w:r>
          </w:p>
        </w:tc>
        <w:tc>
          <w:tcPr>
            <w:tcW w:type="dxa" w:w="3969"/>
            <w:vAlign w:val="top"/>
          </w:tcPr>
          <w:p>
            <w:r/>
            <w:r>
              <w:rPr>
                <w:rFonts w:ascii="Times New Roman" w:hAnsi="Times New Roman"/>
                <w:sz w:val="15"/>
              </w:rPr>
              <w:t>BPS - Sistem Terintegrasi Neraca Lingkungan dan Ekonomi Indonesia 2020-2024</w:t>
            </w:r>
          </w:p>
        </w:tc>
        <w:tc>
          <w:tcPr>
            <w:tcW w:type="dxa" w:w="1814"/>
            <w:vAlign w:val="top"/>
          </w:tcPr>
          <w:p>
            <w:r/>
            <w:r>
              <w:rPr>
                <w:rFonts w:ascii="Times New Roman" w:hAnsi="Times New Roman"/>
                <w:sz w:val="15"/>
              </w:rPr>
              <w:t>DATA PUBLIK RESMI</w:t>
            </w:r>
          </w:p>
        </w:tc>
        <w:tc>
          <w:tcPr>
            <w:tcW w:type="dxa" w:w="1247"/>
            <w:vAlign w:val="top"/>
          </w:tcPr>
          <w:p>
            <w:r/>
            <w:r>
              <w:rPr>
                <w:rFonts w:ascii="Times New Roman" w:hAnsi="Times New Roman"/>
                <w:sz w:val="15"/>
              </w:rPr>
              <w:t>2024 data / rilis 2025</w:t>
            </w:r>
          </w:p>
        </w:tc>
        <w:tc>
          <w:tcPr>
            <w:tcW w:type="dxa" w:w="3402"/>
            <w:vAlign w:val="top"/>
          </w:tcPr>
          <w:p>
            <w:r/>
            <w:r>
              <w:rPr>
                <w:rFonts w:ascii="Times New Roman" w:hAnsi="Times New Roman"/>
                <w:sz w:val="15"/>
              </w:rPr>
              <w:t>Basis data stok, ekstraksi, neraca moneter, deplesi; buku merujuk Gambar 5.2 dan Lampiran 45-46.</w:t>
            </w:r>
          </w:p>
        </w:tc>
        <w:tc>
          <w:tcPr>
            <w:tcW w:type="dxa" w:w="1531"/>
            <w:vAlign w:val="top"/>
          </w:tcPr>
          <w:p>
            <w:r/>
            <w:r>
              <w:rPr>
                <w:rFonts w:ascii="Times New Roman" w:hAnsi="Times New Roman"/>
                <w:sz w:val="15"/>
              </w:rPr>
              <w:t>Eksplisit/utama</w:t>
            </w:r>
          </w:p>
        </w:tc>
        <w:tc>
          <w:tcPr>
            <w:tcW w:type="dxa" w:w="3969"/>
            <w:vAlign w:val="top"/>
          </w:tcPr>
          <w:p>
            <w:r/>
            <w:hyperlink r:id="rId27">
              <w:r>
                <w:rPr>
                  <w:color w:val="0563C1"/>
                  <w:u w:val="single"/>
                </w:rPr>
                <w:t>https://www.bps.go.id/id/publication/2025/12/30/48e29af53d4127452b148791/sistem-terintegrasi-neraca-lingkungan-dan-ekonomi-indonesia-2020-2024.html</w:t>
              </w:r>
            </w:hyperlink>
          </w:p>
        </w:tc>
      </w:tr>
      <w:tr>
        <w:trPr>
          <w:cantSplit/>
        </w:trPr>
        <w:tc>
          <w:tcPr>
            <w:tcW w:type="dxa" w:w="964"/>
            <w:vAlign w:val="top"/>
          </w:tcPr>
          <w:p>
            <w:r/>
            <w:r>
              <w:rPr>
                <w:rFonts w:ascii="Times New Roman" w:hAnsi="Times New Roman"/>
                <w:sz w:val="15"/>
              </w:rPr>
              <w:t>IV-02</w:t>
            </w:r>
          </w:p>
        </w:tc>
        <w:tc>
          <w:tcPr>
            <w:tcW w:type="dxa" w:w="2494"/>
            <w:vAlign w:val="top"/>
          </w:tcPr>
          <w:p>
            <w:r/>
            <w:r>
              <w:rPr>
                <w:rFonts w:ascii="Times New Roman" w:hAnsi="Times New Roman"/>
                <w:sz w:val="15"/>
              </w:rPr>
              <w:t>Hartwick Rule</w:t>
            </w:r>
          </w:p>
        </w:tc>
        <w:tc>
          <w:tcPr>
            <w:tcW w:type="dxa" w:w="3969"/>
            <w:vAlign w:val="top"/>
          </w:tcPr>
          <w:p>
            <w:r/>
            <w:r>
              <w:rPr>
                <w:rFonts w:ascii="Times New Roman" w:hAnsi="Times New Roman"/>
                <w:sz w:val="15"/>
              </w:rPr>
              <w:t>John M. Hartwick, 'Intergenerational Equity and the Investing of Rents from Exhaustible Resources', AER 67(5):972-974</w:t>
            </w:r>
          </w:p>
        </w:tc>
        <w:tc>
          <w:tcPr>
            <w:tcW w:type="dxa" w:w="1814"/>
            <w:vAlign w:val="top"/>
          </w:tcPr>
          <w:p>
            <w:r/>
            <w:r>
              <w:rPr>
                <w:rFonts w:ascii="Times New Roman" w:hAnsi="Times New Roman"/>
                <w:sz w:val="15"/>
              </w:rPr>
              <w:t>REFERENSI KONSEPTUAL PRIMER</w:t>
            </w:r>
          </w:p>
        </w:tc>
        <w:tc>
          <w:tcPr>
            <w:tcW w:type="dxa" w:w="1247"/>
            <w:vAlign w:val="top"/>
          </w:tcPr>
          <w:p>
            <w:r/>
            <w:r>
              <w:rPr>
                <w:rFonts w:ascii="Times New Roman" w:hAnsi="Times New Roman"/>
                <w:sz w:val="15"/>
              </w:rPr>
              <w:t>1977</w:t>
            </w:r>
          </w:p>
        </w:tc>
        <w:tc>
          <w:tcPr>
            <w:tcW w:type="dxa" w:w="3402"/>
            <w:vAlign w:val="top"/>
          </w:tcPr>
          <w:p>
            <w:r/>
            <w:r>
              <w:rPr>
                <w:rFonts w:ascii="Times New Roman" w:hAnsi="Times New Roman"/>
                <w:sz w:val="15"/>
              </w:rPr>
              <w:t>Landasan konseptual investasi rente sumber daya untuk keadilan antargenerasi.</w:t>
            </w:r>
          </w:p>
        </w:tc>
        <w:tc>
          <w:tcPr>
            <w:tcW w:type="dxa" w:w="1531"/>
            <w:vAlign w:val="top"/>
          </w:tcPr>
          <w:p>
            <w:r/>
            <w:r>
              <w:rPr>
                <w:rFonts w:ascii="Times New Roman" w:hAnsi="Times New Roman"/>
                <w:sz w:val="15"/>
              </w:rPr>
              <w:t>Eksplisit/utama</w:t>
            </w:r>
          </w:p>
        </w:tc>
        <w:tc>
          <w:tcPr>
            <w:tcW w:type="dxa" w:w="3969"/>
            <w:vAlign w:val="top"/>
          </w:tcPr>
          <w:p>
            <w:r/>
            <w:hyperlink r:id="rId28">
              <w:r>
                <w:rPr>
                  <w:color w:val="0563C1"/>
                  <w:u w:val="single"/>
                </w:rPr>
                <w:t>https://ideas.repec.org/a/aea/aecrev/v67y1977i5p972-74.html</w:t>
              </w:r>
            </w:hyperlink>
          </w:p>
        </w:tc>
      </w:tr>
      <w:tr>
        <w:trPr>
          <w:cantSplit/>
        </w:trPr>
        <w:tc>
          <w:tcPr>
            <w:tcW w:type="dxa" w:w="964"/>
            <w:vAlign w:val="top"/>
          </w:tcPr>
          <w:p>
            <w:r/>
            <w:r>
              <w:rPr>
                <w:rFonts w:ascii="Times New Roman" w:hAnsi="Times New Roman"/>
                <w:sz w:val="15"/>
              </w:rPr>
              <w:t>IV-03</w:t>
            </w:r>
          </w:p>
        </w:tc>
        <w:tc>
          <w:tcPr>
            <w:tcW w:type="dxa" w:w="2494"/>
            <w:vAlign w:val="top"/>
          </w:tcPr>
          <w:p>
            <w:r/>
            <w:r>
              <w:rPr>
                <w:rFonts w:ascii="Times New Roman" w:hAnsi="Times New Roman"/>
                <w:sz w:val="15"/>
              </w:rPr>
              <w:t>PNBP minerba dan produksi</w:t>
            </w:r>
          </w:p>
        </w:tc>
        <w:tc>
          <w:tcPr>
            <w:tcW w:type="dxa" w:w="3969"/>
            <w:vAlign w:val="top"/>
          </w:tcPr>
          <w:p>
            <w:r/>
            <w:r>
              <w:rPr>
                <w:rFonts w:ascii="Times New Roman" w:hAnsi="Times New Roman"/>
                <w:sz w:val="15"/>
              </w:rPr>
              <w:t>Kementerian ESDM - Laporan Kinerja Kementerian ESDM Tahun 2025</w:t>
            </w:r>
          </w:p>
        </w:tc>
        <w:tc>
          <w:tcPr>
            <w:tcW w:type="dxa" w:w="1814"/>
            <w:vAlign w:val="top"/>
          </w:tcPr>
          <w:p>
            <w:r/>
            <w:r>
              <w:rPr>
                <w:rFonts w:ascii="Times New Roman" w:hAnsi="Times New Roman"/>
                <w:sz w:val="15"/>
              </w:rPr>
              <w:t>DATA PUBLIK RESMI</w:t>
            </w:r>
          </w:p>
        </w:tc>
        <w:tc>
          <w:tcPr>
            <w:tcW w:type="dxa" w:w="1247"/>
            <w:vAlign w:val="top"/>
          </w:tcPr>
          <w:p>
            <w:r/>
            <w:r>
              <w:rPr>
                <w:rFonts w:ascii="Times New Roman" w:hAnsi="Times New Roman"/>
                <w:sz w:val="15"/>
              </w:rPr>
              <w:t>2025</w:t>
            </w:r>
          </w:p>
        </w:tc>
        <w:tc>
          <w:tcPr>
            <w:tcW w:type="dxa" w:w="3402"/>
            <w:vAlign w:val="top"/>
          </w:tcPr>
          <w:p>
            <w:r/>
            <w:r>
              <w:rPr>
                <w:rFonts w:ascii="Times New Roman" w:hAnsi="Times New Roman"/>
                <w:sz w:val="15"/>
              </w:rPr>
              <w:t>Basis konteks PNBP minerba dan produksi komoditas yang disebut dalam buku.</w:t>
            </w:r>
          </w:p>
        </w:tc>
        <w:tc>
          <w:tcPr>
            <w:tcW w:type="dxa" w:w="1531"/>
            <w:vAlign w:val="top"/>
          </w:tcPr>
          <w:p>
            <w:r/>
            <w:r>
              <w:rPr>
                <w:rFonts w:ascii="Times New Roman" w:hAnsi="Times New Roman"/>
                <w:sz w:val="15"/>
              </w:rPr>
              <w:t>Eksplisit/utama</w:t>
            </w:r>
          </w:p>
        </w:tc>
        <w:tc>
          <w:tcPr>
            <w:tcW w:type="dxa" w:w="3969"/>
            <w:vAlign w:val="top"/>
          </w:tcPr>
          <w:p>
            <w:r/>
            <w:hyperlink r:id="rId29">
              <w:r>
                <w:rPr>
                  <w:color w:val="0563C1"/>
                  <w:u w:val="single"/>
                </w:rPr>
                <w:t>https://esdm.go.id/id/publikasi/laporan-kinerja</w:t>
              </w:r>
            </w:hyperlink>
          </w:p>
        </w:tc>
      </w:tr>
      <w:tr>
        <w:trPr>
          <w:cantSplit/>
        </w:trPr>
        <w:tc>
          <w:tcPr>
            <w:tcW w:type="dxa" w:w="964"/>
            <w:vAlign w:val="top"/>
          </w:tcPr>
          <w:p>
            <w:r/>
            <w:r>
              <w:rPr>
                <w:rFonts w:ascii="Times New Roman" w:hAnsi="Times New Roman"/>
                <w:sz w:val="15"/>
              </w:rPr>
              <w:t>IV-04</w:t>
            </w:r>
          </w:p>
        </w:tc>
        <w:tc>
          <w:tcPr>
            <w:tcW w:type="dxa" w:w="2494"/>
            <w:vAlign w:val="top"/>
          </w:tcPr>
          <w:p>
            <w:r/>
            <w:r>
              <w:rPr>
                <w:rFonts w:ascii="Times New Roman" w:hAnsi="Times New Roman"/>
                <w:sz w:val="15"/>
              </w:rPr>
              <w:t>Kerangka pengelolaan PNBP</w:t>
            </w:r>
          </w:p>
        </w:tc>
        <w:tc>
          <w:tcPr>
            <w:tcW w:type="dxa" w:w="3969"/>
            <w:vAlign w:val="top"/>
          </w:tcPr>
          <w:p>
            <w:r/>
            <w:r>
              <w:rPr>
                <w:rFonts w:ascii="Times New Roman" w:hAnsi="Times New Roman"/>
                <w:sz w:val="15"/>
              </w:rPr>
              <w:t>UU Nomor 9 Tahun 2018 tentang PNBP</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2018</w:t>
            </w:r>
          </w:p>
        </w:tc>
        <w:tc>
          <w:tcPr>
            <w:tcW w:type="dxa" w:w="3402"/>
            <w:vAlign w:val="top"/>
          </w:tcPr>
          <w:p>
            <w:r/>
            <w:r>
              <w:rPr>
                <w:rFonts w:ascii="Times New Roman" w:hAnsi="Times New Roman"/>
                <w:sz w:val="15"/>
              </w:rPr>
              <w:t>Landasan prinsip pengelolaan PNBP.</w:t>
            </w:r>
          </w:p>
        </w:tc>
        <w:tc>
          <w:tcPr>
            <w:tcW w:type="dxa" w:w="1531"/>
            <w:vAlign w:val="top"/>
          </w:tcPr>
          <w:p>
            <w:r/>
            <w:r>
              <w:rPr>
                <w:rFonts w:ascii="Times New Roman" w:hAnsi="Times New Roman"/>
                <w:sz w:val="15"/>
              </w:rPr>
              <w:t>Eksplisit/utama</w:t>
            </w:r>
          </w:p>
        </w:tc>
        <w:tc>
          <w:tcPr>
            <w:tcW w:type="dxa" w:w="3969"/>
            <w:vAlign w:val="top"/>
          </w:tcPr>
          <w:p>
            <w:r/>
            <w:hyperlink r:id="rId30">
              <w:r>
                <w:rPr>
                  <w:color w:val="0563C1"/>
                  <w:u w:val="single"/>
                </w:rPr>
                <w:t>https://peraturan.bpk.go.id/Details/90041/uu-no-9-tahun-2018</w:t>
              </w:r>
            </w:hyperlink>
          </w:p>
        </w:tc>
      </w:tr>
      <w:tr>
        <w:trPr>
          <w:cantSplit/>
        </w:trPr>
        <w:tc>
          <w:tcPr>
            <w:tcW w:type="dxa" w:w="964"/>
            <w:vAlign w:val="top"/>
          </w:tcPr>
          <w:p>
            <w:r/>
            <w:r>
              <w:rPr>
                <w:rFonts w:ascii="Times New Roman" w:hAnsi="Times New Roman"/>
                <w:sz w:val="15"/>
              </w:rPr>
              <w:t>IV-05</w:t>
            </w:r>
          </w:p>
        </w:tc>
        <w:tc>
          <w:tcPr>
            <w:tcW w:type="dxa" w:w="2494"/>
            <w:vAlign w:val="top"/>
          </w:tcPr>
          <w:p>
            <w:r/>
            <w:r>
              <w:rPr>
                <w:rFonts w:ascii="Times New Roman" w:hAnsi="Times New Roman"/>
                <w:sz w:val="15"/>
              </w:rPr>
              <w:t>Penetapan tarif dan pengelolaan PNBP</w:t>
            </w:r>
          </w:p>
        </w:tc>
        <w:tc>
          <w:tcPr>
            <w:tcW w:type="dxa" w:w="3969"/>
            <w:vAlign w:val="top"/>
          </w:tcPr>
          <w:p>
            <w:r/>
            <w:r>
              <w:rPr>
                <w:rFonts w:ascii="Times New Roman" w:hAnsi="Times New Roman"/>
                <w:sz w:val="15"/>
              </w:rPr>
              <w:t>PP Nomor 44 Tahun 2025</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2025</w:t>
            </w:r>
          </w:p>
        </w:tc>
        <w:tc>
          <w:tcPr>
            <w:tcW w:type="dxa" w:w="3402"/>
            <w:vAlign w:val="top"/>
          </w:tcPr>
          <w:p>
            <w:r/>
            <w:r>
              <w:rPr>
                <w:rFonts w:ascii="Times New Roman" w:hAnsi="Times New Roman"/>
                <w:sz w:val="15"/>
              </w:rPr>
              <w:t>Basis tata cara penetapan tarif, pengelolaan, keberatan, keringanan dan pengembalian PNBP.</w:t>
            </w:r>
          </w:p>
        </w:tc>
        <w:tc>
          <w:tcPr>
            <w:tcW w:type="dxa" w:w="1531"/>
            <w:vAlign w:val="top"/>
          </w:tcPr>
          <w:p>
            <w:r/>
            <w:r>
              <w:rPr>
                <w:rFonts w:ascii="Times New Roman" w:hAnsi="Times New Roman"/>
                <w:sz w:val="15"/>
              </w:rPr>
              <w:t>Eksplisit/utama</w:t>
            </w:r>
          </w:p>
        </w:tc>
        <w:tc>
          <w:tcPr>
            <w:tcW w:type="dxa" w:w="3969"/>
            <w:vAlign w:val="top"/>
          </w:tcPr>
          <w:p>
            <w:r/>
            <w:hyperlink r:id="rId31">
              <w:r>
                <w:rPr>
                  <w:color w:val="0563C1"/>
                  <w:u w:val="single"/>
                </w:rPr>
                <w:t>https://peraturan.bpk.go.id/Details/331115/pp-no-44-tahun-2025</w:t>
              </w:r>
            </w:hyperlink>
          </w:p>
        </w:tc>
      </w:tr>
      <w:tr>
        <w:trPr>
          <w:cantSplit/>
        </w:trPr>
        <w:tc>
          <w:tcPr>
            <w:tcW w:type="dxa" w:w="964"/>
            <w:vAlign w:val="top"/>
          </w:tcPr>
          <w:p>
            <w:r/>
            <w:r>
              <w:rPr>
                <w:rFonts w:ascii="Times New Roman" w:hAnsi="Times New Roman"/>
                <w:sz w:val="15"/>
              </w:rPr>
              <w:t>IV-06</w:t>
            </w:r>
          </w:p>
        </w:tc>
        <w:tc>
          <w:tcPr>
            <w:tcW w:type="dxa" w:w="2494"/>
            <w:vAlign w:val="top"/>
          </w:tcPr>
          <w:p>
            <w:r/>
            <w:r>
              <w:rPr>
                <w:rFonts w:ascii="Times New Roman" w:hAnsi="Times New Roman"/>
                <w:sz w:val="15"/>
              </w:rPr>
              <w:t>Tarif PNBP Kementerian ESDM</w:t>
            </w:r>
          </w:p>
        </w:tc>
        <w:tc>
          <w:tcPr>
            <w:tcW w:type="dxa" w:w="3969"/>
            <w:vAlign w:val="top"/>
          </w:tcPr>
          <w:p>
            <w:r/>
            <w:r>
              <w:rPr>
                <w:rFonts w:ascii="Times New Roman" w:hAnsi="Times New Roman"/>
                <w:sz w:val="15"/>
              </w:rPr>
              <w:t>PP Nomor 19 Tahun 2025</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2025</w:t>
            </w:r>
          </w:p>
        </w:tc>
        <w:tc>
          <w:tcPr>
            <w:tcW w:type="dxa" w:w="3402"/>
            <w:vAlign w:val="top"/>
          </w:tcPr>
          <w:p>
            <w:r/>
            <w:r>
              <w:rPr>
                <w:rFonts w:ascii="Times New Roman" w:hAnsi="Times New Roman"/>
                <w:sz w:val="15"/>
              </w:rPr>
              <w:t>Basis jenis dan tarif PNBP yang berlaku pada Kementerian ESDM.</w:t>
            </w:r>
          </w:p>
        </w:tc>
        <w:tc>
          <w:tcPr>
            <w:tcW w:type="dxa" w:w="1531"/>
            <w:vAlign w:val="top"/>
          </w:tcPr>
          <w:p>
            <w:r/>
            <w:r>
              <w:rPr>
                <w:rFonts w:ascii="Times New Roman" w:hAnsi="Times New Roman"/>
                <w:sz w:val="15"/>
              </w:rPr>
              <w:t>Eksplisit/utama</w:t>
            </w:r>
          </w:p>
        </w:tc>
        <w:tc>
          <w:tcPr>
            <w:tcW w:type="dxa" w:w="3969"/>
            <w:vAlign w:val="top"/>
          </w:tcPr>
          <w:p>
            <w:r/>
            <w:hyperlink r:id="rId32">
              <w:r>
                <w:rPr>
                  <w:color w:val="0563C1"/>
                  <w:u w:val="single"/>
                </w:rPr>
                <w:t>https://peraturan.bpk.go.id/Details/320049/pp-no-19-tahun-2025</w:t>
              </w:r>
            </w:hyperlink>
          </w:p>
        </w:tc>
      </w:tr>
      <w:tr>
        <w:trPr>
          <w:cantSplit/>
        </w:trPr>
        <w:tc>
          <w:tcPr>
            <w:tcW w:type="dxa" w:w="964"/>
            <w:vAlign w:val="top"/>
          </w:tcPr>
          <w:p>
            <w:r/>
            <w:r>
              <w:rPr>
                <w:rFonts w:ascii="Times New Roman" w:hAnsi="Times New Roman"/>
                <w:sz w:val="15"/>
              </w:rPr>
              <w:t>IV-07</w:t>
            </w:r>
          </w:p>
        </w:tc>
        <w:tc>
          <w:tcPr>
            <w:tcW w:type="dxa" w:w="2494"/>
            <w:vAlign w:val="top"/>
          </w:tcPr>
          <w:p>
            <w:r/>
            <w:r>
              <w:rPr>
                <w:rFonts w:ascii="Times New Roman" w:hAnsi="Times New Roman"/>
                <w:sz w:val="15"/>
              </w:rPr>
              <w:t>Perpajakan/PNBP usaha batubara</w:t>
            </w:r>
          </w:p>
        </w:tc>
        <w:tc>
          <w:tcPr>
            <w:tcW w:type="dxa" w:w="3969"/>
            <w:vAlign w:val="top"/>
          </w:tcPr>
          <w:p>
            <w:r/>
            <w:r>
              <w:rPr>
                <w:rFonts w:ascii="Times New Roman" w:hAnsi="Times New Roman"/>
                <w:sz w:val="15"/>
              </w:rPr>
              <w:t>PP Nomor 18 Tahun 2025</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2025</w:t>
            </w:r>
          </w:p>
        </w:tc>
        <w:tc>
          <w:tcPr>
            <w:tcW w:type="dxa" w:w="3402"/>
            <w:vAlign w:val="top"/>
          </w:tcPr>
          <w:p>
            <w:r/>
            <w:r>
              <w:rPr>
                <w:rFonts w:ascii="Times New Roman" w:hAnsi="Times New Roman"/>
                <w:sz w:val="15"/>
              </w:rPr>
              <w:t>Perubahan atas PP 15/2022 mengenai perlakuan perpajakan dan/atau PNBP usaha pertambangan batubara.</w:t>
            </w:r>
          </w:p>
        </w:tc>
        <w:tc>
          <w:tcPr>
            <w:tcW w:type="dxa" w:w="1531"/>
            <w:vAlign w:val="top"/>
          </w:tcPr>
          <w:p>
            <w:r/>
            <w:r>
              <w:rPr>
                <w:rFonts w:ascii="Times New Roman" w:hAnsi="Times New Roman"/>
                <w:sz w:val="15"/>
              </w:rPr>
              <w:t>Eksplisit/utama</w:t>
            </w:r>
          </w:p>
        </w:tc>
        <w:tc>
          <w:tcPr>
            <w:tcW w:type="dxa" w:w="3969"/>
            <w:vAlign w:val="top"/>
          </w:tcPr>
          <w:p>
            <w:r/>
            <w:hyperlink r:id="rId33">
              <w:r>
                <w:rPr>
                  <w:color w:val="0563C1"/>
                  <w:u w:val="single"/>
                </w:rPr>
                <w:t>https://peraturan.bpk.go.id/Details/320043</w:t>
              </w:r>
            </w:hyperlink>
          </w:p>
        </w:tc>
      </w:tr>
      <w:tr>
        <w:trPr>
          <w:cantSplit/>
        </w:trPr>
        <w:tc>
          <w:tcPr>
            <w:tcW w:type="dxa" w:w="964"/>
            <w:vAlign w:val="top"/>
          </w:tcPr>
          <w:p>
            <w:r/>
            <w:r>
              <w:rPr>
                <w:rFonts w:ascii="Times New Roman" w:hAnsi="Times New Roman"/>
                <w:sz w:val="15"/>
              </w:rPr>
              <w:t>IV-08</w:t>
            </w:r>
          </w:p>
        </w:tc>
        <w:tc>
          <w:tcPr>
            <w:tcW w:type="dxa" w:w="2494"/>
            <w:vAlign w:val="top"/>
          </w:tcPr>
          <w:p>
            <w:r/>
            <w:r>
              <w:rPr>
                <w:rFonts w:ascii="Times New Roman" w:hAnsi="Times New Roman"/>
                <w:sz w:val="15"/>
              </w:rPr>
              <w:t>Dana Perkebunan</w:t>
            </w:r>
          </w:p>
        </w:tc>
        <w:tc>
          <w:tcPr>
            <w:tcW w:type="dxa" w:w="3969"/>
            <w:vAlign w:val="top"/>
          </w:tcPr>
          <w:p>
            <w:r/>
            <w:r>
              <w:rPr>
                <w:rFonts w:ascii="Times New Roman" w:hAnsi="Times New Roman"/>
                <w:sz w:val="15"/>
              </w:rPr>
              <w:t>Perpres Nomor 132 Tahun 2024 tentang Pengelolaan Dana Perkebunan</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2024</w:t>
            </w:r>
          </w:p>
        </w:tc>
        <w:tc>
          <w:tcPr>
            <w:tcW w:type="dxa" w:w="3402"/>
            <w:vAlign w:val="top"/>
          </w:tcPr>
          <w:p>
            <w:r/>
            <w:r>
              <w:rPr>
                <w:rFonts w:ascii="Times New Roman" w:hAnsi="Times New Roman"/>
                <w:sz w:val="15"/>
              </w:rPr>
              <w:t>Basis struktur penghimpunan/penggunaan dana perkebunan dan kelembagaan.</w:t>
            </w:r>
          </w:p>
        </w:tc>
        <w:tc>
          <w:tcPr>
            <w:tcW w:type="dxa" w:w="1531"/>
            <w:vAlign w:val="top"/>
          </w:tcPr>
          <w:p>
            <w:r/>
            <w:r>
              <w:rPr>
                <w:rFonts w:ascii="Times New Roman" w:hAnsi="Times New Roman"/>
                <w:sz w:val="15"/>
              </w:rPr>
              <w:t>Eksplisit/utama</w:t>
            </w:r>
          </w:p>
        </w:tc>
        <w:tc>
          <w:tcPr>
            <w:tcW w:type="dxa" w:w="3969"/>
            <w:vAlign w:val="top"/>
          </w:tcPr>
          <w:p>
            <w:r/>
            <w:hyperlink r:id="rId34">
              <w:r>
                <w:rPr>
                  <w:color w:val="0563C1"/>
                  <w:u w:val="single"/>
                </w:rPr>
                <w:t>https://peraturan.bpk.go.id/Details/305311/perpres-no-132-tahun-2024</w:t>
              </w:r>
            </w:hyperlink>
          </w:p>
        </w:tc>
      </w:tr>
      <w:tr>
        <w:trPr>
          <w:cantSplit/>
        </w:trPr>
        <w:tc>
          <w:tcPr>
            <w:tcW w:type="dxa" w:w="964"/>
            <w:vAlign w:val="top"/>
          </w:tcPr>
          <w:p>
            <w:r/>
            <w:r>
              <w:rPr>
                <w:rFonts w:ascii="Times New Roman" w:hAnsi="Times New Roman"/>
                <w:sz w:val="15"/>
              </w:rPr>
              <w:t>IV-09</w:t>
            </w:r>
          </w:p>
        </w:tc>
        <w:tc>
          <w:tcPr>
            <w:tcW w:type="dxa" w:w="2494"/>
            <w:vAlign w:val="top"/>
          </w:tcPr>
          <w:p>
            <w:r/>
            <w:r>
              <w:rPr>
                <w:rFonts w:ascii="Times New Roman" w:hAnsi="Times New Roman"/>
                <w:sz w:val="15"/>
              </w:rPr>
              <w:t>Tarif layanan Dana Perkebunan</w:t>
            </w:r>
          </w:p>
        </w:tc>
        <w:tc>
          <w:tcPr>
            <w:tcW w:type="dxa" w:w="3969"/>
            <w:vAlign w:val="top"/>
          </w:tcPr>
          <w:p>
            <w:r/>
            <w:r>
              <w:rPr>
                <w:rFonts w:ascii="Times New Roman" w:hAnsi="Times New Roman"/>
                <w:sz w:val="15"/>
              </w:rPr>
              <w:t>PMK Nomor 69 Tahun 2025 jo. PMK Nomor 9 Tahun 2026</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2025/2026</w:t>
            </w:r>
          </w:p>
        </w:tc>
        <w:tc>
          <w:tcPr>
            <w:tcW w:type="dxa" w:w="3402"/>
            <w:vAlign w:val="top"/>
          </w:tcPr>
          <w:p>
            <w:r/>
            <w:r>
              <w:rPr>
                <w:rFonts w:ascii="Times New Roman" w:hAnsi="Times New Roman"/>
                <w:sz w:val="15"/>
              </w:rPr>
              <w:t>Basis tarif layanan BLU Badan Pengelola Dana Perkebunan dan perubahannya.</w:t>
            </w:r>
          </w:p>
        </w:tc>
        <w:tc>
          <w:tcPr>
            <w:tcW w:type="dxa" w:w="1531"/>
            <w:vAlign w:val="top"/>
          </w:tcPr>
          <w:p>
            <w:r/>
            <w:r>
              <w:rPr>
                <w:rFonts w:ascii="Times New Roman" w:hAnsi="Times New Roman"/>
                <w:sz w:val="15"/>
              </w:rPr>
              <w:t>Eksplisit/utama</w:t>
            </w:r>
          </w:p>
        </w:tc>
        <w:tc>
          <w:tcPr>
            <w:tcW w:type="dxa" w:w="3969"/>
            <w:vAlign w:val="top"/>
          </w:tcPr>
          <w:p>
            <w:r/>
            <w:hyperlink r:id="rId35">
              <w:r>
                <w:rPr>
                  <w:color w:val="0563C1"/>
                  <w:u w:val="single"/>
                </w:rPr>
                <w:t>https://jdih.kemenkeu.go.id/dok/pmk-69-tahun-2025/view</w:t>
              </w:r>
            </w:hyperlink>
          </w:p>
        </w:tc>
      </w:tr>
      <w:tr>
        <w:trPr>
          <w:cantSplit/>
        </w:trPr>
        <w:tc>
          <w:tcPr>
            <w:tcW w:type="dxa" w:w="964"/>
            <w:vAlign w:val="top"/>
          </w:tcPr>
          <w:p>
            <w:r/>
            <w:r>
              <w:rPr>
                <w:rFonts w:ascii="Times New Roman" w:hAnsi="Times New Roman"/>
                <w:sz w:val="15"/>
              </w:rPr>
              <w:t>IV-10</w:t>
            </w:r>
          </w:p>
        </w:tc>
        <w:tc>
          <w:tcPr>
            <w:tcW w:type="dxa" w:w="2494"/>
            <w:vAlign w:val="top"/>
          </w:tcPr>
          <w:p>
            <w:r/>
            <w:r>
              <w:rPr>
                <w:rFonts w:ascii="Times New Roman" w:hAnsi="Times New Roman"/>
                <w:sz w:val="15"/>
              </w:rPr>
              <w:t>Moratorium/evaluasi sawit</w:t>
            </w:r>
          </w:p>
        </w:tc>
        <w:tc>
          <w:tcPr>
            <w:tcW w:type="dxa" w:w="3969"/>
            <w:vAlign w:val="top"/>
          </w:tcPr>
          <w:p>
            <w:r/>
            <w:r>
              <w:rPr>
                <w:rFonts w:ascii="Times New Roman" w:hAnsi="Times New Roman"/>
                <w:sz w:val="15"/>
              </w:rPr>
              <w:t>Inpres Nomor 8 Tahun 2018</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2018</w:t>
            </w:r>
          </w:p>
        </w:tc>
        <w:tc>
          <w:tcPr>
            <w:tcW w:type="dxa" w:w="3402"/>
            <w:vAlign w:val="top"/>
          </w:tcPr>
          <w:p>
            <w:r/>
            <w:r>
              <w:rPr>
                <w:rFonts w:ascii="Times New Roman" w:hAnsi="Times New Roman"/>
                <w:sz w:val="15"/>
              </w:rPr>
              <w:t>Preseden penundaan/evaluasi perizinan sawit dan peningkatan produktivitas.</w:t>
            </w:r>
          </w:p>
        </w:tc>
        <w:tc>
          <w:tcPr>
            <w:tcW w:type="dxa" w:w="1531"/>
            <w:vAlign w:val="top"/>
          </w:tcPr>
          <w:p>
            <w:r/>
            <w:r>
              <w:rPr>
                <w:rFonts w:ascii="Times New Roman" w:hAnsi="Times New Roman"/>
                <w:sz w:val="15"/>
              </w:rPr>
              <w:t>Eksplisit/utama</w:t>
            </w:r>
          </w:p>
        </w:tc>
        <w:tc>
          <w:tcPr>
            <w:tcW w:type="dxa" w:w="3969"/>
            <w:vAlign w:val="top"/>
          </w:tcPr>
          <w:p>
            <w:r/>
            <w:hyperlink r:id="rId36">
              <w:r>
                <w:rPr>
                  <w:color w:val="0563C1"/>
                  <w:u w:val="single"/>
                </w:rPr>
                <w:t>https://peraturan.bpk.go.id/Details/92813/inpres-no-8-tahun-2018</w:t>
              </w:r>
            </w:hyperlink>
          </w:p>
        </w:tc>
      </w:tr>
      <w:tr>
        <w:trPr>
          <w:cantSplit/>
        </w:trPr>
        <w:tc>
          <w:tcPr>
            <w:tcW w:type="dxa" w:w="964"/>
            <w:vAlign w:val="top"/>
          </w:tcPr>
          <w:p>
            <w:r/>
            <w:r>
              <w:rPr>
                <w:rFonts w:ascii="Times New Roman" w:hAnsi="Times New Roman"/>
                <w:sz w:val="15"/>
              </w:rPr>
              <w:t>IV-11</w:t>
            </w:r>
          </w:p>
        </w:tc>
        <w:tc>
          <w:tcPr>
            <w:tcW w:type="dxa" w:w="2494"/>
            <w:vAlign w:val="top"/>
          </w:tcPr>
          <w:p>
            <w:r/>
            <w:r>
              <w:rPr>
                <w:rFonts w:ascii="Times New Roman" w:hAnsi="Times New Roman"/>
                <w:sz w:val="15"/>
              </w:rPr>
              <w:t>Simulasi deplesi-economic rent-RRR</w:t>
            </w:r>
          </w:p>
        </w:tc>
        <w:tc>
          <w:tcPr>
            <w:tcW w:type="dxa" w:w="3969"/>
            <w:vAlign w:val="top"/>
          </w:tcPr>
          <w:p>
            <w:r/>
            <w:r>
              <w:rPr>
                <w:rFonts w:ascii="Times New Roman" w:hAnsi="Times New Roman"/>
                <w:sz w:val="15"/>
              </w:rPr>
              <w:t>Asumsi dan perhitungan penulis</w:t>
            </w:r>
          </w:p>
        </w:tc>
        <w:tc>
          <w:tcPr>
            <w:tcW w:type="dxa" w:w="1814"/>
            <w:vAlign w:val="top"/>
          </w:tcPr>
          <w:p>
            <w:r/>
            <w:r>
              <w:rPr>
                <w:rFonts w:ascii="Times New Roman" w:hAnsi="Times New Roman"/>
                <w:sz w:val="15"/>
              </w:rPr>
              <w:t>ILUSTRASI/DERIVED</w:t>
            </w:r>
          </w:p>
        </w:tc>
        <w:tc>
          <w:tcPr>
            <w:tcW w:type="dxa" w:w="1247"/>
            <w:vAlign w:val="top"/>
          </w:tcPr>
          <w:p>
            <w:r/>
            <w:r>
              <w:rPr>
                <w:rFonts w:ascii="Times New Roman" w:hAnsi="Times New Roman"/>
                <w:sz w:val="15"/>
              </w:rPr>
              <w:t>2026</w:t>
            </w:r>
          </w:p>
        </w:tc>
        <w:tc>
          <w:tcPr>
            <w:tcW w:type="dxa" w:w="3402"/>
            <w:vAlign w:val="top"/>
          </w:tcPr>
          <w:p>
            <w:r/>
            <w:r>
              <w:rPr>
                <w:rFonts w:ascii="Times New Roman" w:hAnsi="Times New Roman"/>
                <w:sz w:val="15"/>
              </w:rPr>
              <w:t>Economic rent, normal return/risk premium dan pembagian simulatif bukan angka BPS, bukan tarif, bukan kewajiban fiskal.</w:t>
            </w:r>
          </w:p>
        </w:tc>
        <w:tc>
          <w:tcPr>
            <w:tcW w:type="dxa" w:w="1531"/>
            <w:vAlign w:val="top"/>
          </w:tcPr>
          <w:p>
            <w:r/>
            <w:r>
              <w:rPr>
                <w:rFonts w:ascii="Times New Roman" w:hAnsi="Times New Roman"/>
                <w:sz w:val="15"/>
              </w:rPr>
              <w:t>Author simulation</w:t>
            </w:r>
          </w:p>
        </w:tc>
        <w:tc>
          <w:tcPr>
            <w:tcW w:type="dxa" w:w="3969"/>
            <w:vAlign w:val="top"/>
          </w:tcPr>
          <w:p>
            <w:r/>
            <w:r>
              <w:rPr>
                <w:rFonts w:ascii="Times New Roman" w:hAnsi="Times New Roman"/>
                <w:sz w:val="15"/>
              </w:rPr>
              <w:t>—</w:t>
            </w:r>
          </w:p>
        </w:tc>
      </w:tr>
    </w:tbl>
    <w:p/>
    <w:p>
      <w:pPr>
        <w:pStyle w:val="Heading1"/>
      </w:pPr>
      <w:r>
        <w:t>BAB V - Neraca yang Belum Lengkap</w:t>
      </w:r>
    </w:p>
    <w:tbl>
      <w:tblPr>
        <w:tblStyle w:val="TableGrid"/>
        <w:tblW w:type="auto" w:w="0"/>
        <w:jc w:val="center"/>
        <w:tblLook w:firstColumn="1" w:firstRow="1" w:lastColumn="0" w:lastRow="0" w:noHBand="0" w:noVBand="1" w:val="04A0"/>
      </w:tblPr>
      <w:tblGrid>
        <w:gridCol w:w="1935"/>
        <w:gridCol w:w="1935"/>
        <w:gridCol w:w="1935"/>
        <w:gridCol w:w="1935"/>
        <w:gridCol w:w="1935"/>
        <w:gridCol w:w="1935"/>
        <w:gridCol w:w="1935"/>
        <w:gridCol w:w="1935"/>
      </w:tblGrid>
      <w:tr>
        <w:tc>
          <w:tcPr>
            <w:tcW w:type="dxa" w:w="964"/>
            <w:shd w:fill="D9EAF7"/>
            <w:vAlign w:val="center"/>
          </w:tcPr>
          <w:p>
            <w:pPr>
              <w:jc w:val="center"/>
            </w:pPr>
            <w:r>
              <w:rPr>
                <w:rFonts w:ascii="Times New Roman" w:hAnsi="Times New Roman"/>
                <w:b/>
                <w:sz w:val="15"/>
              </w:rPr>
              <w:t>Kode</w:t>
            </w:r>
          </w:p>
        </w:tc>
        <w:tc>
          <w:tcPr>
            <w:tcW w:type="dxa" w:w="2494"/>
            <w:shd w:fill="D9EAF7"/>
            <w:vAlign w:val="center"/>
          </w:tcPr>
          <w:p>
            <w:pPr>
              <w:jc w:val="center"/>
            </w:pPr>
            <w:r>
              <w:rPr>
                <w:rFonts w:ascii="Times New Roman" w:hAnsi="Times New Roman"/>
                <w:b/>
                <w:sz w:val="15"/>
              </w:rPr>
              <w:t>Topik/Klaim</w:t>
            </w:r>
          </w:p>
        </w:tc>
        <w:tc>
          <w:tcPr>
            <w:tcW w:type="dxa" w:w="3969"/>
            <w:shd w:fill="D9EAF7"/>
            <w:vAlign w:val="center"/>
          </w:tcPr>
          <w:p>
            <w:pPr>
              <w:jc w:val="center"/>
            </w:pPr>
            <w:r>
              <w:rPr>
                <w:rFonts w:ascii="Times New Roman" w:hAnsi="Times New Roman"/>
                <w:b/>
                <w:sz w:val="15"/>
              </w:rPr>
              <w:t>Sumber primer/dokumen</w:t>
            </w:r>
          </w:p>
        </w:tc>
        <w:tc>
          <w:tcPr>
            <w:tcW w:type="dxa" w:w="1814"/>
            <w:shd w:fill="D9EAF7"/>
            <w:vAlign w:val="center"/>
          </w:tcPr>
          <w:p>
            <w:pPr>
              <w:jc w:val="center"/>
            </w:pPr>
            <w:r>
              <w:rPr>
                <w:rFonts w:ascii="Times New Roman" w:hAnsi="Times New Roman"/>
                <w:b/>
                <w:sz w:val="15"/>
              </w:rPr>
              <w:t>Jenis</w:t>
            </w:r>
          </w:p>
        </w:tc>
        <w:tc>
          <w:tcPr>
            <w:tcW w:type="dxa" w:w="1247"/>
            <w:shd w:fill="D9EAF7"/>
            <w:vAlign w:val="center"/>
          </w:tcPr>
          <w:p>
            <w:pPr>
              <w:jc w:val="center"/>
            </w:pPr>
            <w:r>
              <w:rPr>
                <w:rFonts w:ascii="Times New Roman" w:hAnsi="Times New Roman"/>
                <w:b/>
                <w:sz w:val="15"/>
              </w:rPr>
              <w:t>Periode</w:t>
            </w:r>
          </w:p>
        </w:tc>
        <w:tc>
          <w:tcPr>
            <w:tcW w:type="dxa" w:w="3402"/>
            <w:shd w:fill="D9EAF7"/>
            <w:vAlign w:val="center"/>
          </w:tcPr>
          <w:p>
            <w:pPr>
              <w:jc w:val="center"/>
            </w:pPr>
            <w:r>
              <w:rPr>
                <w:rFonts w:ascii="Times New Roman" w:hAnsi="Times New Roman"/>
                <w:b/>
                <w:sz w:val="15"/>
              </w:rPr>
              <w:t>Fungsi dalam buku</w:t>
            </w:r>
          </w:p>
        </w:tc>
        <w:tc>
          <w:tcPr>
            <w:tcW w:type="dxa" w:w="1531"/>
            <w:shd w:fill="D9EAF7"/>
            <w:vAlign w:val="center"/>
          </w:tcPr>
          <w:p>
            <w:pPr>
              <w:jc w:val="center"/>
            </w:pPr>
            <w:r>
              <w:rPr>
                <w:rFonts w:ascii="Times New Roman" w:hAnsi="Times New Roman"/>
                <w:b/>
                <w:sz w:val="15"/>
              </w:rPr>
              <w:t>Status</w:t>
            </w:r>
          </w:p>
        </w:tc>
        <w:tc>
          <w:tcPr>
            <w:tcW w:type="dxa" w:w="3969"/>
            <w:shd w:fill="D9EAF7"/>
            <w:vAlign w:val="center"/>
          </w:tcPr>
          <w:p>
            <w:pPr>
              <w:jc w:val="center"/>
            </w:pPr>
            <w:r>
              <w:rPr>
                <w:rFonts w:ascii="Times New Roman" w:hAnsi="Times New Roman"/>
                <w:b/>
                <w:sz w:val="15"/>
              </w:rPr>
              <w:t>Tautan resmi/utama</w:t>
            </w:r>
          </w:p>
        </w:tc>
      </w:tr>
      <w:tr>
        <w:trPr>
          <w:cantSplit/>
        </w:trPr>
        <w:tc>
          <w:tcPr>
            <w:tcW w:type="dxa" w:w="964"/>
            <w:vAlign w:val="top"/>
          </w:tcPr>
          <w:p>
            <w:r/>
            <w:r>
              <w:rPr>
                <w:rFonts w:ascii="Times New Roman" w:hAnsi="Times New Roman"/>
                <w:sz w:val="15"/>
              </w:rPr>
              <w:t>V-01</w:t>
            </w:r>
          </w:p>
        </w:tc>
        <w:tc>
          <w:tcPr>
            <w:tcW w:type="dxa" w:w="2494"/>
            <w:vAlign w:val="top"/>
          </w:tcPr>
          <w:p>
            <w:r/>
            <w:r>
              <w:rPr>
                <w:rFonts w:ascii="Times New Roman" w:hAnsi="Times New Roman"/>
                <w:sz w:val="15"/>
              </w:rPr>
              <w:t>Natural wealth/depletion</w:t>
            </w:r>
          </w:p>
        </w:tc>
        <w:tc>
          <w:tcPr>
            <w:tcW w:type="dxa" w:w="3969"/>
            <w:vAlign w:val="top"/>
          </w:tcPr>
          <w:p>
            <w:r/>
            <w:r>
              <w:rPr>
                <w:rFonts w:ascii="Times New Roman" w:hAnsi="Times New Roman"/>
                <w:sz w:val="15"/>
              </w:rPr>
              <w:t>BPS - Sisnerling 2020-2024</w:t>
            </w:r>
          </w:p>
        </w:tc>
        <w:tc>
          <w:tcPr>
            <w:tcW w:type="dxa" w:w="1814"/>
            <w:vAlign w:val="top"/>
          </w:tcPr>
          <w:p>
            <w:r/>
            <w:r>
              <w:rPr>
                <w:rFonts w:ascii="Times New Roman" w:hAnsi="Times New Roman"/>
                <w:sz w:val="15"/>
              </w:rPr>
              <w:t>DATA PUBLIK RESMI</w:t>
            </w:r>
          </w:p>
        </w:tc>
        <w:tc>
          <w:tcPr>
            <w:tcW w:type="dxa" w:w="1247"/>
            <w:vAlign w:val="top"/>
          </w:tcPr>
          <w:p>
            <w:r/>
            <w:r>
              <w:rPr>
                <w:rFonts w:ascii="Times New Roman" w:hAnsi="Times New Roman"/>
                <w:sz w:val="15"/>
              </w:rPr>
              <w:t>2024 data / rilis 2025</w:t>
            </w:r>
          </w:p>
        </w:tc>
        <w:tc>
          <w:tcPr>
            <w:tcW w:type="dxa" w:w="3402"/>
            <w:vAlign w:val="top"/>
          </w:tcPr>
          <w:p>
            <w:r/>
            <w:r>
              <w:rPr>
                <w:rFonts w:ascii="Times New Roman" w:hAnsi="Times New Roman"/>
                <w:sz w:val="15"/>
              </w:rPr>
              <w:t>Basis pembacaan aset sumber daya secara statistik dan perubahan stok/nilai.</w:t>
            </w:r>
          </w:p>
        </w:tc>
        <w:tc>
          <w:tcPr>
            <w:tcW w:type="dxa" w:w="1531"/>
            <w:vAlign w:val="top"/>
          </w:tcPr>
          <w:p>
            <w:r/>
            <w:r>
              <w:rPr>
                <w:rFonts w:ascii="Times New Roman" w:hAnsi="Times New Roman"/>
                <w:sz w:val="15"/>
              </w:rPr>
              <w:t>Eksplisit/utama</w:t>
            </w:r>
          </w:p>
        </w:tc>
        <w:tc>
          <w:tcPr>
            <w:tcW w:type="dxa" w:w="3969"/>
            <w:vAlign w:val="top"/>
          </w:tcPr>
          <w:p>
            <w:r/>
            <w:hyperlink r:id="rId27">
              <w:r>
                <w:rPr>
                  <w:color w:val="0563C1"/>
                  <w:u w:val="single"/>
                </w:rPr>
                <w:t>https://www.bps.go.id/id/publication/2025/12/30/48e29af53d4127452b148791/sistem-terintegrasi-neraca-lingkungan-dan-ekonomi-indonesia-2020-2024.html</w:t>
              </w:r>
            </w:hyperlink>
          </w:p>
        </w:tc>
      </w:tr>
      <w:tr>
        <w:trPr>
          <w:cantSplit/>
        </w:trPr>
        <w:tc>
          <w:tcPr>
            <w:tcW w:type="dxa" w:w="964"/>
            <w:vAlign w:val="top"/>
          </w:tcPr>
          <w:p>
            <w:r/>
            <w:r>
              <w:rPr>
                <w:rFonts w:ascii="Times New Roman" w:hAnsi="Times New Roman"/>
                <w:sz w:val="15"/>
              </w:rPr>
              <w:t>V-02</w:t>
            </w:r>
          </w:p>
        </w:tc>
        <w:tc>
          <w:tcPr>
            <w:tcW w:type="dxa" w:w="2494"/>
            <w:vAlign w:val="top"/>
          </w:tcPr>
          <w:p>
            <w:r/>
            <w:r>
              <w:rPr>
                <w:rFonts w:ascii="Times New Roman" w:hAnsi="Times New Roman"/>
                <w:sz w:val="15"/>
              </w:rPr>
              <w:t>Kebijakan akuntansi pusat/pensiun disclosure</w:t>
            </w:r>
          </w:p>
        </w:tc>
        <w:tc>
          <w:tcPr>
            <w:tcW w:type="dxa" w:w="3969"/>
            <w:vAlign w:val="top"/>
          </w:tcPr>
          <w:p>
            <w:r/>
            <w:r>
              <w:rPr>
                <w:rFonts w:ascii="Times New Roman" w:hAnsi="Times New Roman"/>
                <w:sz w:val="15"/>
              </w:rPr>
              <w:t>PMK Nomor 100 Tahun 2025</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2025</w:t>
            </w:r>
          </w:p>
        </w:tc>
        <w:tc>
          <w:tcPr>
            <w:tcW w:type="dxa" w:w="3402"/>
            <w:vAlign w:val="top"/>
          </w:tcPr>
          <w:p>
            <w:r/>
            <w:r>
              <w:rPr>
                <w:rFonts w:ascii="Times New Roman" w:hAnsi="Times New Roman"/>
                <w:sz w:val="15"/>
              </w:rPr>
              <w:t>Basis kebijakan akuntansi pusat dan penyajian/pengungkapan terkait.</w:t>
            </w:r>
          </w:p>
        </w:tc>
        <w:tc>
          <w:tcPr>
            <w:tcW w:type="dxa" w:w="1531"/>
            <w:vAlign w:val="top"/>
          </w:tcPr>
          <w:p>
            <w:r/>
            <w:r>
              <w:rPr>
                <w:rFonts w:ascii="Times New Roman" w:hAnsi="Times New Roman"/>
                <w:sz w:val="15"/>
              </w:rPr>
              <w:t>Eksplisit/utama</w:t>
            </w:r>
          </w:p>
        </w:tc>
        <w:tc>
          <w:tcPr>
            <w:tcW w:type="dxa" w:w="3969"/>
            <w:vAlign w:val="top"/>
          </w:tcPr>
          <w:p>
            <w:r/>
            <w:hyperlink r:id="rId16">
              <w:r>
                <w:rPr>
                  <w:color w:val="0563C1"/>
                  <w:u w:val="single"/>
                </w:rPr>
                <w:t>https://jdih.kemenkeu.go.id/dok/pmk-100-tahun-2025</w:t>
              </w:r>
            </w:hyperlink>
          </w:p>
        </w:tc>
      </w:tr>
      <w:tr>
        <w:trPr>
          <w:cantSplit/>
        </w:trPr>
        <w:tc>
          <w:tcPr>
            <w:tcW w:type="dxa" w:w="964"/>
            <w:vAlign w:val="top"/>
          </w:tcPr>
          <w:p>
            <w:r/>
            <w:r>
              <w:rPr>
                <w:rFonts w:ascii="Times New Roman" w:hAnsi="Times New Roman"/>
                <w:sz w:val="15"/>
              </w:rPr>
              <w:t>V-03</w:t>
            </w:r>
          </w:p>
        </w:tc>
        <w:tc>
          <w:tcPr>
            <w:tcW w:type="dxa" w:w="2494"/>
            <w:vAlign w:val="top"/>
          </w:tcPr>
          <w:p>
            <w:r/>
            <w:r>
              <w:rPr>
                <w:rFonts w:ascii="Times New Roman" w:hAnsi="Times New Roman"/>
                <w:sz w:val="15"/>
              </w:rPr>
              <w:t>Natural resources held for conservation</w:t>
            </w:r>
          </w:p>
        </w:tc>
        <w:tc>
          <w:tcPr>
            <w:tcW w:type="dxa" w:w="3969"/>
            <w:vAlign w:val="top"/>
          </w:tcPr>
          <w:p>
            <w:r/>
            <w:r>
              <w:rPr>
                <w:rFonts w:ascii="Times New Roman" w:hAnsi="Times New Roman"/>
                <w:sz w:val="15"/>
              </w:rPr>
              <w:t>IPSAS 51, Tangible Natural Resources Held for Conservation</w:t>
            </w:r>
          </w:p>
        </w:tc>
        <w:tc>
          <w:tcPr>
            <w:tcW w:type="dxa" w:w="1814"/>
            <w:vAlign w:val="top"/>
          </w:tcPr>
          <w:p>
            <w:r/>
            <w:r>
              <w:rPr>
                <w:rFonts w:ascii="Times New Roman" w:hAnsi="Times New Roman"/>
                <w:sz w:val="15"/>
              </w:rPr>
              <w:t>STANDAR INTERNASIONAL</w:t>
            </w:r>
          </w:p>
        </w:tc>
        <w:tc>
          <w:tcPr>
            <w:tcW w:type="dxa" w:w="1247"/>
            <w:vAlign w:val="top"/>
          </w:tcPr>
          <w:p>
            <w:r/>
            <w:r>
              <w:rPr>
                <w:rFonts w:ascii="Times New Roman" w:hAnsi="Times New Roman"/>
                <w:sz w:val="15"/>
              </w:rPr>
              <w:t>2026</w:t>
            </w:r>
          </w:p>
        </w:tc>
        <w:tc>
          <w:tcPr>
            <w:tcW w:type="dxa" w:w="3402"/>
            <w:vAlign w:val="top"/>
          </w:tcPr>
          <w:p>
            <w:r/>
            <w:r>
              <w:rPr>
                <w:rFonts w:ascii="Times New Roman" w:hAnsi="Times New Roman"/>
                <w:sz w:val="15"/>
              </w:rPr>
              <w:t>Pembanding internasional untuk natural resources; tidak otomatis menjadi SAP Indonesia.</w:t>
            </w:r>
          </w:p>
        </w:tc>
        <w:tc>
          <w:tcPr>
            <w:tcW w:type="dxa" w:w="1531"/>
            <w:vAlign w:val="top"/>
          </w:tcPr>
          <w:p>
            <w:r/>
            <w:r>
              <w:rPr>
                <w:rFonts w:ascii="Times New Roman" w:hAnsi="Times New Roman"/>
                <w:sz w:val="15"/>
              </w:rPr>
              <w:t>Eksplisit/pembanding</w:t>
            </w:r>
          </w:p>
        </w:tc>
        <w:tc>
          <w:tcPr>
            <w:tcW w:type="dxa" w:w="3969"/>
            <w:vAlign w:val="top"/>
          </w:tcPr>
          <w:p>
            <w:r/>
            <w:hyperlink r:id="rId37">
              <w:r>
                <w:rPr>
                  <w:color w:val="0563C1"/>
                  <w:u w:val="single"/>
                </w:rPr>
                <w:t>https://www.ipsasb.org/publications/ipsas-51-tangible-natural-resources-held-conservation</w:t>
              </w:r>
            </w:hyperlink>
          </w:p>
        </w:tc>
      </w:tr>
      <w:tr>
        <w:trPr>
          <w:cantSplit/>
        </w:trPr>
        <w:tc>
          <w:tcPr>
            <w:tcW w:type="dxa" w:w="964"/>
            <w:vAlign w:val="top"/>
          </w:tcPr>
          <w:p>
            <w:r/>
            <w:r>
              <w:rPr>
                <w:rFonts w:ascii="Times New Roman" w:hAnsi="Times New Roman"/>
                <w:sz w:val="15"/>
              </w:rPr>
              <w:t>V-04</w:t>
            </w:r>
          </w:p>
        </w:tc>
        <w:tc>
          <w:tcPr>
            <w:tcW w:type="dxa" w:w="2494"/>
            <w:vAlign w:val="top"/>
          </w:tcPr>
          <w:p>
            <w:r/>
            <w:r>
              <w:rPr>
                <w:rFonts w:ascii="Times New Roman" w:hAnsi="Times New Roman"/>
                <w:sz w:val="15"/>
              </w:rPr>
              <w:t>Employee benefits / defined benefit</w:t>
            </w:r>
          </w:p>
        </w:tc>
        <w:tc>
          <w:tcPr>
            <w:tcW w:type="dxa" w:w="3969"/>
            <w:vAlign w:val="top"/>
          </w:tcPr>
          <w:p>
            <w:r/>
            <w:r>
              <w:rPr>
                <w:rFonts w:ascii="Times New Roman" w:hAnsi="Times New Roman"/>
                <w:sz w:val="15"/>
              </w:rPr>
              <w:t>IPSAS 39, Employee Benefits</w:t>
            </w:r>
          </w:p>
        </w:tc>
        <w:tc>
          <w:tcPr>
            <w:tcW w:type="dxa" w:w="1814"/>
            <w:vAlign w:val="top"/>
          </w:tcPr>
          <w:p>
            <w:r/>
            <w:r>
              <w:rPr>
                <w:rFonts w:ascii="Times New Roman" w:hAnsi="Times New Roman"/>
                <w:sz w:val="15"/>
              </w:rPr>
              <w:t>STANDAR INTERNASIONAL</w:t>
            </w:r>
          </w:p>
        </w:tc>
        <w:tc>
          <w:tcPr>
            <w:tcW w:type="dxa" w:w="1247"/>
            <w:vAlign w:val="top"/>
          </w:tcPr>
          <w:p>
            <w:r/>
            <w:r>
              <w:rPr>
                <w:rFonts w:ascii="Times New Roman" w:hAnsi="Times New Roman"/>
                <w:sz w:val="15"/>
              </w:rPr>
              <w:t>2016/current</w:t>
            </w:r>
          </w:p>
        </w:tc>
        <w:tc>
          <w:tcPr>
            <w:tcW w:type="dxa" w:w="3402"/>
            <w:vAlign w:val="top"/>
          </w:tcPr>
          <w:p>
            <w:r/>
            <w:r>
              <w:rPr>
                <w:rFonts w:ascii="Times New Roman" w:hAnsi="Times New Roman"/>
                <w:sz w:val="15"/>
              </w:rPr>
              <w:t>Pembanding konseptual kewajiban imbalan kerja/pensiun; bukan standar domestik.</w:t>
            </w:r>
          </w:p>
        </w:tc>
        <w:tc>
          <w:tcPr>
            <w:tcW w:type="dxa" w:w="1531"/>
            <w:vAlign w:val="top"/>
          </w:tcPr>
          <w:p>
            <w:r/>
            <w:r>
              <w:rPr>
                <w:rFonts w:ascii="Times New Roman" w:hAnsi="Times New Roman"/>
                <w:sz w:val="15"/>
              </w:rPr>
              <w:t>Eksplisit/pembanding</w:t>
            </w:r>
          </w:p>
        </w:tc>
        <w:tc>
          <w:tcPr>
            <w:tcW w:type="dxa" w:w="3969"/>
            <w:vAlign w:val="top"/>
          </w:tcPr>
          <w:p>
            <w:r/>
            <w:hyperlink r:id="rId38">
              <w:r>
                <w:rPr>
                  <w:color w:val="0563C1"/>
                  <w:u w:val="single"/>
                </w:rPr>
                <w:t>https://www.ipsasb.org/publications/ipsas-39-employee-benefits-2</w:t>
              </w:r>
            </w:hyperlink>
          </w:p>
        </w:tc>
      </w:tr>
      <w:tr>
        <w:trPr>
          <w:cantSplit/>
        </w:trPr>
        <w:tc>
          <w:tcPr>
            <w:tcW w:type="dxa" w:w="964"/>
            <w:vAlign w:val="top"/>
          </w:tcPr>
          <w:p>
            <w:r/>
            <w:r>
              <w:rPr>
                <w:rFonts w:ascii="Times New Roman" w:hAnsi="Times New Roman"/>
                <w:sz w:val="15"/>
              </w:rPr>
              <w:t>V-05</w:t>
            </w:r>
          </w:p>
        </w:tc>
        <w:tc>
          <w:tcPr>
            <w:tcW w:type="dxa" w:w="2494"/>
            <w:vAlign w:val="top"/>
          </w:tcPr>
          <w:p>
            <w:r/>
            <w:r>
              <w:rPr>
                <w:rFonts w:ascii="Times New Roman" w:hAnsi="Times New Roman"/>
                <w:sz w:val="15"/>
              </w:rPr>
              <w:t>Public sector balance sheet/public wealth</w:t>
            </w:r>
          </w:p>
        </w:tc>
        <w:tc>
          <w:tcPr>
            <w:tcW w:type="dxa" w:w="3969"/>
            <w:vAlign w:val="top"/>
          </w:tcPr>
          <w:p>
            <w:r/>
            <w:r>
              <w:rPr>
                <w:rFonts w:ascii="Times New Roman" w:hAnsi="Times New Roman"/>
                <w:sz w:val="15"/>
              </w:rPr>
              <w:t>IMF Fiscal Monitor October 2018 - Managing Public Wealth</w:t>
            </w:r>
          </w:p>
        </w:tc>
        <w:tc>
          <w:tcPr>
            <w:tcW w:type="dxa" w:w="1814"/>
            <w:vAlign w:val="top"/>
          </w:tcPr>
          <w:p>
            <w:r/>
            <w:r>
              <w:rPr>
                <w:rFonts w:ascii="Times New Roman" w:hAnsi="Times New Roman"/>
                <w:sz w:val="15"/>
              </w:rPr>
              <w:t>REFERENSI KONSEPTUAL PRIMER</w:t>
            </w:r>
          </w:p>
        </w:tc>
        <w:tc>
          <w:tcPr>
            <w:tcW w:type="dxa" w:w="1247"/>
            <w:vAlign w:val="top"/>
          </w:tcPr>
          <w:p>
            <w:r/>
            <w:r>
              <w:rPr>
                <w:rFonts w:ascii="Times New Roman" w:hAnsi="Times New Roman"/>
                <w:sz w:val="15"/>
              </w:rPr>
              <w:t>2018</w:t>
            </w:r>
          </w:p>
        </w:tc>
        <w:tc>
          <w:tcPr>
            <w:tcW w:type="dxa" w:w="3402"/>
            <w:vAlign w:val="top"/>
          </w:tcPr>
          <w:p>
            <w:r/>
            <w:r>
              <w:rPr>
                <w:rFonts w:ascii="Times New Roman" w:hAnsi="Times New Roman"/>
                <w:sz w:val="15"/>
              </w:rPr>
              <w:t>Pembanding public sector balance sheet, aset, natural resources dan pension liabilities.</w:t>
            </w:r>
          </w:p>
        </w:tc>
        <w:tc>
          <w:tcPr>
            <w:tcW w:type="dxa" w:w="1531"/>
            <w:vAlign w:val="top"/>
          </w:tcPr>
          <w:p>
            <w:r/>
            <w:r>
              <w:rPr>
                <w:rFonts w:ascii="Times New Roman" w:hAnsi="Times New Roman"/>
                <w:sz w:val="15"/>
              </w:rPr>
              <w:t>Eksplisit/utama</w:t>
            </w:r>
          </w:p>
        </w:tc>
        <w:tc>
          <w:tcPr>
            <w:tcW w:type="dxa" w:w="3969"/>
            <w:vAlign w:val="top"/>
          </w:tcPr>
          <w:p>
            <w:r/>
            <w:hyperlink r:id="rId39">
              <w:r>
                <w:rPr>
                  <w:color w:val="0563C1"/>
                  <w:u w:val="single"/>
                </w:rPr>
                <w:t>https://www.imf.org/en/publications/fm/issues/2018/10/04/fiscal-monitor-october-2018</w:t>
              </w:r>
            </w:hyperlink>
          </w:p>
        </w:tc>
      </w:tr>
      <w:tr>
        <w:trPr>
          <w:cantSplit/>
        </w:trPr>
        <w:tc>
          <w:tcPr>
            <w:tcW w:type="dxa" w:w="964"/>
            <w:vAlign w:val="top"/>
          </w:tcPr>
          <w:p>
            <w:r/>
            <w:r>
              <w:rPr>
                <w:rFonts w:ascii="Times New Roman" w:hAnsi="Times New Roman"/>
                <w:sz w:val="15"/>
              </w:rPr>
              <w:t>V-06</w:t>
            </w:r>
          </w:p>
        </w:tc>
        <w:tc>
          <w:tcPr>
            <w:tcW w:type="dxa" w:w="2494"/>
            <w:vAlign w:val="top"/>
          </w:tcPr>
          <w:p>
            <w:r/>
            <w:r>
              <w:rPr>
                <w:rFonts w:ascii="Times New Roman" w:hAnsi="Times New Roman"/>
                <w:sz w:val="15"/>
              </w:rPr>
              <w:t>Extended sovereign balance sheet &amp; analytical bridge</w:t>
            </w:r>
          </w:p>
        </w:tc>
        <w:tc>
          <w:tcPr>
            <w:tcW w:type="dxa" w:w="3969"/>
            <w:vAlign w:val="top"/>
          </w:tcPr>
          <w:p>
            <w:r/>
            <w:r>
              <w:rPr>
                <w:rFonts w:ascii="Times New Roman" w:hAnsi="Times New Roman"/>
                <w:sz w:val="15"/>
              </w:rPr>
              <w:t>Kerangka penulis</w:t>
            </w:r>
          </w:p>
        </w:tc>
        <w:tc>
          <w:tcPr>
            <w:tcW w:type="dxa" w:w="1814"/>
            <w:vAlign w:val="top"/>
          </w:tcPr>
          <w:p>
            <w:r/>
            <w:r>
              <w:rPr>
                <w:rFonts w:ascii="Times New Roman" w:hAnsi="Times New Roman"/>
                <w:sz w:val="15"/>
              </w:rPr>
              <w:t>KERANGKA PENULIS</w:t>
            </w:r>
          </w:p>
        </w:tc>
        <w:tc>
          <w:tcPr>
            <w:tcW w:type="dxa" w:w="1247"/>
            <w:vAlign w:val="top"/>
          </w:tcPr>
          <w:p>
            <w:r/>
            <w:r>
              <w:rPr>
                <w:rFonts w:ascii="Times New Roman" w:hAnsi="Times New Roman"/>
                <w:sz w:val="15"/>
              </w:rPr>
              <w:t>2026</w:t>
            </w:r>
          </w:p>
        </w:tc>
        <w:tc>
          <w:tcPr>
            <w:tcW w:type="dxa" w:w="3402"/>
            <w:vAlign w:val="top"/>
          </w:tcPr>
          <w:p>
            <w:r/>
            <w:r>
              <w:rPr>
                <w:rFonts w:ascii="Times New Roman" w:hAnsi="Times New Roman"/>
                <w:sz w:val="15"/>
              </w:rPr>
              <w:t>Analytical bridge; bukan identity akuntansi SAP. Eliminasi double counting wajib.</w:t>
            </w:r>
          </w:p>
        </w:tc>
        <w:tc>
          <w:tcPr>
            <w:tcW w:type="dxa" w:w="1531"/>
            <w:vAlign w:val="top"/>
          </w:tcPr>
          <w:p>
            <w:r/>
            <w:r>
              <w:rPr>
                <w:rFonts w:ascii="Times New Roman" w:hAnsi="Times New Roman"/>
                <w:sz w:val="15"/>
              </w:rPr>
              <w:t>Author framework</w:t>
            </w:r>
          </w:p>
        </w:tc>
        <w:tc>
          <w:tcPr>
            <w:tcW w:type="dxa" w:w="3969"/>
            <w:vAlign w:val="top"/>
          </w:tcPr>
          <w:p>
            <w:r/>
            <w:r>
              <w:rPr>
                <w:rFonts w:ascii="Times New Roman" w:hAnsi="Times New Roman"/>
                <w:sz w:val="15"/>
              </w:rPr>
              <w:t>—</w:t>
            </w:r>
          </w:p>
        </w:tc>
      </w:tr>
    </w:tbl>
    <w:p/>
    <w:p>
      <w:pPr>
        <w:pStyle w:val="Heading1"/>
      </w:pPr>
      <w:r>
        <w:t>BAB VI - Investasi dan Utang</w:t>
      </w:r>
    </w:p>
    <w:tbl>
      <w:tblPr>
        <w:tblStyle w:val="TableGrid"/>
        <w:tblW w:type="auto" w:w="0"/>
        <w:jc w:val="center"/>
        <w:tblLook w:firstColumn="1" w:firstRow="1" w:lastColumn="0" w:lastRow="0" w:noHBand="0" w:noVBand="1" w:val="04A0"/>
      </w:tblPr>
      <w:tblGrid>
        <w:gridCol w:w="1935"/>
        <w:gridCol w:w="1935"/>
        <w:gridCol w:w="1935"/>
        <w:gridCol w:w="1935"/>
        <w:gridCol w:w="1935"/>
        <w:gridCol w:w="1935"/>
        <w:gridCol w:w="1935"/>
        <w:gridCol w:w="1935"/>
      </w:tblGrid>
      <w:tr>
        <w:tc>
          <w:tcPr>
            <w:tcW w:type="dxa" w:w="964"/>
            <w:shd w:fill="D9EAF7"/>
            <w:vAlign w:val="center"/>
          </w:tcPr>
          <w:p>
            <w:pPr>
              <w:jc w:val="center"/>
            </w:pPr>
            <w:r>
              <w:rPr>
                <w:rFonts w:ascii="Times New Roman" w:hAnsi="Times New Roman"/>
                <w:b/>
                <w:sz w:val="15"/>
              </w:rPr>
              <w:t>Kode</w:t>
            </w:r>
          </w:p>
        </w:tc>
        <w:tc>
          <w:tcPr>
            <w:tcW w:type="dxa" w:w="2494"/>
            <w:shd w:fill="D9EAF7"/>
            <w:vAlign w:val="center"/>
          </w:tcPr>
          <w:p>
            <w:pPr>
              <w:jc w:val="center"/>
            </w:pPr>
            <w:r>
              <w:rPr>
                <w:rFonts w:ascii="Times New Roman" w:hAnsi="Times New Roman"/>
                <w:b/>
                <w:sz w:val="15"/>
              </w:rPr>
              <w:t>Topik/Klaim</w:t>
            </w:r>
          </w:p>
        </w:tc>
        <w:tc>
          <w:tcPr>
            <w:tcW w:type="dxa" w:w="3969"/>
            <w:shd w:fill="D9EAF7"/>
            <w:vAlign w:val="center"/>
          </w:tcPr>
          <w:p>
            <w:pPr>
              <w:jc w:val="center"/>
            </w:pPr>
            <w:r>
              <w:rPr>
                <w:rFonts w:ascii="Times New Roman" w:hAnsi="Times New Roman"/>
                <w:b/>
                <w:sz w:val="15"/>
              </w:rPr>
              <w:t>Sumber primer/dokumen</w:t>
            </w:r>
          </w:p>
        </w:tc>
        <w:tc>
          <w:tcPr>
            <w:tcW w:type="dxa" w:w="1814"/>
            <w:shd w:fill="D9EAF7"/>
            <w:vAlign w:val="center"/>
          </w:tcPr>
          <w:p>
            <w:pPr>
              <w:jc w:val="center"/>
            </w:pPr>
            <w:r>
              <w:rPr>
                <w:rFonts w:ascii="Times New Roman" w:hAnsi="Times New Roman"/>
                <w:b/>
                <w:sz w:val="15"/>
              </w:rPr>
              <w:t>Jenis</w:t>
            </w:r>
          </w:p>
        </w:tc>
        <w:tc>
          <w:tcPr>
            <w:tcW w:type="dxa" w:w="1247"/>
            <w:shd w:fill="D9EAF7"/>
            <w:vAlign w:val="center"/>
          </w:tcPr>
          <w:p>
            <w:pPr>
              <w:jc w:val="center"/>
            </w:pPr>
            <w:r>
              <w:rPr>
                <w:rFonts w:ascii="Times New Roman" w:hAnsi="Times New Roman"/>
                <w:b/>
                <w:sz w:val="15"/>
              </w:rPr>
              <w:t>Periode</w:t>
            </w:r>
          </w:p>
        </w:tc>
        <w:tc>
          <w:tcPr>
            <w:tcW w:type="dxa" w:w="3402"/>
            <w:shd w:fill="D9EAF7"/>
            <w:vAlign w:val="center"/>
          </w:tcPr>
          <w:p>
            <w:pPr>
              <w:jc w:val="center"/>
            </w:pPr>
            <w:r>
              <w:rPr>
                <w:rFonts w:ascii="Times New Roman" w:hAnsi="Times New Roman"/>
                <w:b/>
                <w:sz w:val="15"/>
              </w:rPr>
              <w:t>Fungsi dalam buku</w:t>
            </w:r>
          </w:p>
        </w:tc>
        <w:tc>
          <w:tcPr>
            <w:tcW w:type="dxa" w:w="1531"/>
            <w:shd w:fill="D9EAF7"/>
            <w:vAlign w:val="center"/>
          </w:tcPr>
          <w:p>
            <w:pPr>
              <w:jc w:val="center"/>
            </w:pPr>
            <w:r>
              <w:rPr>
                <w:rFonts w:ascii="Times New Roman" w:hAnsi="Times New Roman"/>
                <w:b/>
                <w:sz w:val="15"/>
              </w:rPr>
              <w:t>Status</w:t>
            </w:r>
          </w:p>
        </w:tc>
        <w:tc>
          <w:tcPr>
            <w:tcW w:type="dxa" w:w="3969"/>
            <w:shd w:fill="D9EAF7"/>
            <w:vAlign w:val="center"/>
          </w:tcPr>
          <w:p>
            <w:pPr>
              <w:jc w:val="center"/>
            </w:pPr>
            <w:r>
              <w:rPr>
                <w:rFonts w:ascii="Times New Roman" w:hAnsi="Times New Roman"/>
                <w:b/>
                <w:sz w:val="15"/>
              </w:rPr>
              <w:t>Tautan resmi/utama</w:t>
            </w:r>
          </w:p>
        </w:tc>
      </w:tr>
      <w:tr>
        <w:trPr>
          <w:cantSplit/>
        </w:trPr>
        <w:tc>
          <w:tcPr>
            <w:tcW w:type="dxa" w:w="964"/>
            <w:vAlign w:val="top"/>
          </w:tcPr>
          <w:p>
            <w:r/>
            <w:r>
              <w:rPr>
                <w:rFonts w:ascii="Times New Roman" w:hAnsi="Times New Roman"/>
                <w:sz w:val="15"/>
              </w:rPr>
              <w:t>VI-01</w:t>
            </w:r>
          </w:p>
        </w:tc>
        <w:tc>
          <w:tcPr>
            <w:tcW w:type="dxa" w:w="2494"/>
            <w:vAlign w:val="top"/>
          </w:tcPr>
          <w:p>
            <w:r/>
            <w:r>
              <w:rPr>
                <w:rFonts w:ascii="Times New Roman" w:hAnsi="Times New Roman"/>
                <w:sz w:val="15"/>
              </w:rPr>
              <w:t>Postur APBN 2027</w:t>
            </w:r>
          </w:p>
        </w:tc>
        <w:tc>
          <w:tcPr>
            <w:tcW w:type="dxa" w:w="3969"/>
            <w:vAlign w:val="top"/>
          </w:tcPr>
          <w:p>
            <w:r/>
            <w:r>
              <w:rPr>
                <w:rFonts w:ascii="Times New Roman" w:hAnsi="Times New Roman"/>
                <w:sz w:val="15"/>
              </w:rPr>
              <w:t>Kementerian Keuangan - RUU APBN 2027 Resmi Disahkan, 29 September 2026</w:t>
            </w:r>
          </w:p>
        </w:tc>
        <w:tc>
          <w:tcPr>
            <w:tcW w:type="dxa" w:w="1814"/>
            <w:vAlign w:val="top"/>
          </w:tcPr>
          <w:p>
            <w:r/>
            <w:r>
              <w:rPr>
                <w:rFonts w:ascii="Times New Roman" w:hAnsi="Times New Roman"/>
                <w:sz w:val="15"/>
              </w:rPr>
              <w:t>DATA PUBLIK RESMI</w:t>
            </w:r>
          </w:p>
        </w:tc>
        <w:tc>
          <w:tcPr>
            <w:tcW w:type="dxa" w:w="1247"/>
            <w:vAlign w:val="top"/>
          </w:tcPr>
          <w:p>
            <w:r/>
            <w:r>
              <w:rPr>
                <w:rFonts w:ascii="Times New Roman" w:hAnsi="Times New Roman"/>
                <w:sz w:val="15"/>
              </w:rPr>
              <w:t>2027 APBN / rilis 2026</w:t>
            </w:r>
          </w:p>
        </w:tc>
        <w:tc>
          <w:tcPr>
            <w:tcW w:type="dxa" w:w="3402"/>
            <w:vAlign w:val="top"/>
          </w:tcPr>
          <w:p>
            <w:r/>
            <w:r>
              <w:rPr>
                <w:rFonts w:ascii="Times New Roman" w:hAnsi="Times New Roman"/>
                <w:sz w:val="15"/>
              </w:rPr>
              <w:t>Basis pendapatan Rp3.435,1T, belanja Rp4.106,3T, pembiayaan Rp671,2T, defisit 2,4% PDB dalam buku.</w:t>
            </w:r>
          </w:p>
        </w:tc>
        <w:tc>
          <w:tcPr>
            <w:tcW w:type="dxa" w:w="1531"/>
            <w:vAlign w:val="top"/>
          </w:tcPr>
          <w:p>
            <w:r/>
            <w:r>
              <w:rPr>
                <w:rFonts w:ascii="Times New Roman" w:hAnsi="Times New Roman"/>
                <w:sz w:val="15"/>
              </w:rPr>
              <w:t>Eksplisit/utama</w:t>
            </w:r>
          </w:p>
        </w:tc>
        <w:tc>
          <w:tcPr>
            <w:tcW w:type="dxa" w:w="3969"/>
            <w:vAlign w:val="top"/>
          </w:tcPr>
          <w:p>
            <w:r/>
            <w:hyperlink r:id="rId40">
              <w:r>
                <w:rPr>
                  <w:color w:val="0563C1"/>
                  <w:u w:val="single"/>
                </w:rPr>
                <w:t>https://www.kemenkeu.go.id/informasi-publik/publikasi/berita-utama/Menkeu-Suahasil-Rapur-RUU-APBN-2027</w:t>
              </w:r>
            </w:hyperlink>
          </w:p>
        </w:tc>
      </w:tr>
      <w:tr>
        <w:trPr>
          <w:cantSplit/>
        </w:trPr>
        <w:tc>
          <w:tcPr>
            <w:tcW w:type="dxa" w:w="964"/>
            <w:vAlign w:val="top"/>
          </w:tcPr>
          <w:p>
            <w:r/>
            <w:r>
              <w:rPr>
                <w:rFonts w:ascii="Times New Roman" w:hAnsi="Times New Roman"/>
                <w:sz w:val="15"/>
              </w:rPr>
              <w:t>VI-02</w:t>
            </w:r>
          </w:p>
        </w:tc>
        <w:tc>
          <w:tcPr>
            <w:tcW w:type="dxa" w:w="2494"/>
            <w:vAlign w:val="top"/>
          </w:tcPr>
          <w:p>
            <w:r/>
            <w:r>
              <w:rPr>
                <w:rFonts w:ascii="Times New Roman" w:hAnsi="Times New Roman"/>
                <w:sz w:val="15"/>
              </w:rPr>
              <w:t>Public Investment Management Assessment</w:t>
            </w:r>
          </w:p>
        </w:tc>
        <w:tc>
          <w:tcPr>
            <w:tcW w:type="dxa" w:w="3969"/>
            <w:vAlign w:val="top"/>
          </w:tcPr>
          <w:p>
            <w:r/>
            <w:r>
              <w:rPr>
                <w:rFonts w:ascii="Times New Roman" w:hAnsi="Times New Roman"/>
                <w:sz w:val="15"/>
              </w:rPr>
              <w:t>IMF - PIMA Handbook: Public Investment Management Assessment, 1st Edition</w:t>
            </w:r>
          </w:p>
        </w:tc>
        <w:tc>
          <w:tcPr>
            <w:tcW w:type="dxa" w:w="1814"/>
            <w:vAlign w:val="top"/>
          </w:tcPr>
          <w:p>
            <w:r/>
            <w:r>
              <w:rPr>
                <w:rFonts w:ascii="Times New Roman" w:hAnsi="Times New Roman"/>
                <w:sz w:val="15"/>
              </w:rPr>
              <w:t>REFERENSI KONSEPTUAL PRIMER</w:t>
            </w:r>
          </w:p>
        </w:tc>
        <w:tc>
          <w:tcPr>
            <w:tcW w:type="dxa" w:w="1247"/>
            <w:vAlign w:val="top"/>
          </w:tcPr>
          <w:p>
            <w:r/>
            <w:r>
              <w:rPr>
                <w:rFonts w:ascii="Times New Roman" w:hAnsi="Times New Roman"/>
                <w:sz w:val="15"/>
              </w:rPr>
              <w:t>2022</w:t>
            </w:r>
          </w:p>
        </w:tc>
        <w:tc>
          <w:tcPr>
            <w:tcW w:type="dxa" w:w="3402"/>
            <w:vAlign w:val="top"/>
          </w:tcPr>
          <w:p>
            <w:r/>
            <w:r>
              <w:rPr>
                <w:rFonts w:ascii="Times New Roman" w:hAnsi="Times New Roman"/>
                <w:sz w:val="15"/>
              </w:rPr>
              <w:t>Landasan pembanding tata kelola investasi publik dan siklus proyek.</w:t>
            </w:r>
          </w:p>
        </w:tc>
        <w:tc>
          <w:tcPr>
            <w:tcW w:type="dxa" w:w="1531"/>
            <w:vAlign w:val="top"/>
          </w:tcPr>
          <w:p>
            <w:r/>
            <w:r>
              <w:rPr>
                <w:rFonts w:ascii="Times New Roman" w:hAnsi="Times New Roman"/>
                <w:sz w:val="15"/>
              </w:rPr>
              <w:t>Eksplisit/utama</w:t>
            </w:r>
          </w:p>
        </w:tc>
        <w:tc>
          <w:tcPr>
            <w:tcW w:type="dxa" w:w="3969"/>
            <w:vAlign w:val="top"/>
          </w:tcPr>
          <w:p>
            <w:r/>
            <w:hyperlink r:id="rId41">
              <w:r>
                <w:rPr>
                  <w:color w:val="0563C1"/>
                  <w:u w:val="single"/>
                </w:rPr>
                <w:t>https://www.imf.org/en/publications/books/issues/2022/07/12/pima-handbook-public-investment-management-assessment-1st-edition-50166</w:t>
              </w:r>
            </w:hyperlink>
          </w:p>
        </w:tc>
      </w:tr>
      <w:tr>
        <w:trPr>
          <w:cantSplit/>
        </w:trPr>
        <w:tc>
          <w:tcPr>
            <w:tcW w:type="dxa" w:w="964"/>
            <w:vAlign w:val="top"/>
          </w:tcPr>
          <w:p>
            <w:r/>
            <w:r>
              <w:rPr>
                <w:rFonts w:ascii="Times New Roman" w:hAnsi="Times New Roman"/>
                <w:sz w:val="15"/>
              </w:rPr>
              <w:t>VI-03</w:t>
            </w:r>
          </w:p>
        </w:tc>
        <w:tc>
          <w:tcPr>
            <w:tcW w:type="dxa" w:w="2494"/>
            <w:vAlign w:val="top"/>
          </w:tcPr>
          <w:p>
            <w:r/>
            <w:r>
              <w:rPr>
                <w:rFonts w:ascii="Times New Roman" w:hAnsi="Times New Roman"/>
                <w:sz w:val="15"/>
              </w:rPr>
              <w:t>PIMA diagnostic framework</w:t>
            </w:r>
          </w:p>
        </w:tc>
        <w:tc>
          <w:tcPr>
            <w:tcW w:type="dxa" w:w="3969"/>
            <w:vAlign w:val="top"/>
          </w:tcPr>
          <w:p>
            <w:r/>
            <w:r>
              <w:rPr>
                <w:rFonts w:ascii="Times New Roman" w:hAnsi="Times New Roman"/>
                <w:sz w:val="15"/>
              </w:rPr>
              <w:t>IMF Infrastructure Governance - PIMA</w:t>
            </w:r>
          </w:p>
        </w:tc>
        <w:tc>
          <w:tcPr>
            <w:tcW w:type="dxa" w:w="1814"/>
            <w:vAlign w:val="top"/>
          </w:tcPr>
          <w:p>
            <w:r/>
            <w:r>
              <w:rPr>
                <w:rFonts w:ascii="Times New Roman" w:hAnsi="Times New Roman"/>
                <w:sz w:val="15"/>
              </w:rPr>
              <w:t>REFERENSI KONSEPTUAL PRIMER</w:t>
            </w:r>
          </w:p>
        </w:tc>
        <w:tc>
          <w:tcPr>
            <w:tcW w:type="dxa" w:w="1247"/>
            <w:vAlign w:val="top"/>
          </w:tcPr>
          <w:p>
            <w:r/>
            <w:r>
              <w:rPr>
                <w:rFonts w:ascii="Times New Roman" w:hAnsi="Times New Roman"/>
                <w:sz w:val="15"/>
              </w:rPr>
              <w:t>Current</w:t>
            </w:r>
          </w:p>
        </w:tc>
        <w:tc>
          <w:tcPr>
            <w:tcW w:type="dxa" w:w="3402"/>
            <w:vAlign w:val="top"/>
          </w:tcPr>
          <w:p>
            <w:r/>
            <w:r>
              <w:rPr>
                <w:rFonts w:ascii="Times New Roman" w:hAnsi="Times New Roman"/>
                <w:sz w:val="15"/>
              </w:rPr>
              <w:t>Referensi operasional penilaian kelembagaan investasi publik.</w:t>
            </w:r>
          </w:p>
        </w:tc>
        <w:tc>
          <w:tcPr>
            <w:tcW w:type="dxa" w:w="1531"/>
            <w:vAlign w:val="top"/>
          </w:tcPr>
          <w:p>
            <w:r/>
            <w:r>
              <w:rPr>
                <w:rFonts w:ascii="Times New Roman" w:hAnsi="Times New Roman"/>
                <w:sz w:val="15"/>
              </w:rPr>
              <w:t>Pendukung primer</w:t>
            </w:r>
          </w:p>
        </w:tc>
        <w:tc>
          <w:tcPr>
            <w:tcW w:type="dxa" w:w="3969"/>
            <w:vAlign w:val="top"/>
          </w:tcPr>
          <w:p>
            <w:r/>
            <w:hyperlink r:id="rId42">
              <w:r>
                <w:rPr>
                  <w:color w:val="0563C1"/>
                  <w:u w:val="single"/>
                </w:rPr>
                <w:t>https://infrastructuregovern.imf.org/content/PIMA/Home/PimaTool/What-is-PIMA.html</w:t>
              </w:r>
            </w:hyperlink>
          </w:p>
        </w:tc>
      </w:tr>
      <w:tr>
        <w:trPr>
          <w:cantSplit/>
        </w:trPr>
        <w:tc>
          <w:tcPr>
            <w:tcW w:type="dxa" w:w="964"/>
            <w:vAlign w:val="top"/>
          </w:tcPr>
          <w:p>
            <w:r/>
            <w:r>
              <w:rPr>
                <w:rFonts w:ascii="Times New Roman" w:hAnsi="Times New Roman"/>
                <w:sz w:val="15"/>
              </w:rPr>
              <w:t>VI-04</w:t>
            </w:r>
          </w:p>
        </w:tc>
        <w:tc>
          <w:tcPr>
            <w:tcW w:type="dxa" w:w="2494"/>
            <w:vAlign w:val="top"/>
          </w:tcPr>
          <w:p>
            <w:r/>
            <w:r>
              <w:rPr>
                <w:rFonts w:ascii="Times New Roman" w:hAnsi="Times New Roman"/>
                <w:sz w:val="15"/>
              </w:rPr>
              <w:t>Stage-gate, maximum plausible fiscal exposure, value gates</w:t>
            </w:r>
          </w:p>
        </w:tc>
        <w:tc>
          <w:tcPr>
            <w:tcW w:type="dxa" w:w="3969"/>
            <w:vAlign w:val="top"/>
          </w:tcPr>
          <w:p>
            <w:r/>
            <w:r>
              <w:rPr>
                <w:rFonts w:ascii="Times New Roman" w:hAnsi="Times New Roman"/>
                <w:sz w:val="15"/>
              </w:rPr>
              <w:t>Kerangka penulis</w:t>
            </w:r>
          </w:p>
        </w:tc>
        <w:tc>
          <w:tcPr>
            <w:tcW w:type="dxa" w:w="1814"/>
            <w:vAlign w:val="top"/>
          </w:tcPr>
          <w:p>
            <w:r/>
            <w:r>
              <w:rPr>
                <w:rFonts w:ascii="Times New Roman" w:hAnsi="Times New Roman"/>
                <w:sz w:val="15"/>
              </w:rPr>
              <w:t>KERANGKA PENULIS</w:t>
            </w:r>
          </w:p>
        </w:tc>
        <w:tc>
          <w:tcPr>
            <w:tcW w:type="dxa" w:w="1247"/>
            <w:vAlign w:val="top"/>
          </w:tcPr>
          <w:p>
            <w:r/>
            <w:r>
              <w:rPr>
                <w:rFonts w:ascii="Times New Roman" w:hAnsi="Times New Roman"/>
                <w:sz w:val="15"/>
              </w:rPr>
              <w:t>2026</w:t>
            </w:r>
          </w:p>
        </w:tc>
        <w:tc>
          <w:tcPr>
            <w:tcW w:type="dxa" w:w="3402"/>
            <w:vAlign w:val="top"/>
          </w:tcPr>
          <w:p>
            <w:r/>
            <w:r>
              <w:rPr>
                <w:rFonts w:ascii="Times New Roman" w:hAnsi="Times New Roman"/>
                <w:sz w:val="15"/>
              </w:rPr>
              <w:t>Alat analitis buku; bukan formula regulasi/akuntansi.</w:t>
            </w:r>
          </w:p>
        </w:tc>
        <w:tc>
          <w:tcPr>
            <w:tcW w:type="dxa" w:w="1531"/>
            <w:vAlign w:val="top"/>
          </w:tcPr>
          <w:p>
            <w:r/>
            <w:r>
              <w:rPr>
                <w:rFonts w:ascii="Times New Roman" w:hAnsi="Times New Roman"/>
                <w:sz w:val="15"/>
              </w:rPr>
              <w:t>Author framework</w:t>
            </w:r>
          </w:p>
        </w:tc>
        <w:tc>
          <w:tcPr>
            <w:tcW w:type="dxa" w:w="3969"/>
            <w:vAlign w:val="top"/>
          </w:tcPr>
          <w:p>
            <w:r/>
            <w:r>
              <w:rPr>
                <w:rFonts w:ascii="Times New Roman" w:hAnsi="Times New Roman"/>
                <w:sz w:val="15"/>
              </w:rPr>
              <w:t>—</w:t>
            </w:r>
          </w:p>
        </w:tc>
      </w:tr>
    </w:tbl>
    <w:p/>
    <w:p>
      <w:pPr>
        <w:pStyle w:val="Heading1"/>
      </w:pPr>
      <w:r>
        <w:t>BAB VII - Uang Negara Harus Bekerja</w:t>
      </w:r>
    </w:p>
    <w:tbl>
      <w:tblPr>
        <w:tblStyle w:val="TableGrid"/>
        <w:tblW w:type="auto" w:w="0"/>
        <w:jc w:val="center"/>
        <w:tblLook w:firstColumn="1" w:firstRow="1" w:lastColumn="0" w:lastRow="0" w:noHBand="0" w:noVBand="1" w:val="04A0"/>
      </w:tblPr>
      <w:tblGrid>
        <w:gridCol w:w="1935"/>
        <w:gridCol w:w="1935"/>
        <w:gridCol w:w="1935"/>
        <w:gridCol w:w="1935"/>
        <w:gridCol w:w="1935"/>
        <w:gridCol w:w="1935"/>
        <w:gridCol w:w="1935"/>
        <w:gridCol w:w="1935"/>
      </w:tblGrid>
      <w:tr>
        <w:tc>
          <w:tcPr>
            <w:tcW w:type="dxa" w:w="964"/>
            <w:shd w:fill="D9EAF7"/>
            <w:vAlign w:val="center"/>
          </w:tcPr>
          <w:p>
            <w:pPr>
              <w:jc w:val="center"/>
            </w:pPr>
            <w:r>
              <w:rPr>
                <w:rFonts w:ascii="Times New Roman" w:hAnsi="Times New Roman"/>
                <w:b/>
                <w:sz w:val="15"/>
              </w:rPr>
              <w:t>Kode</w:t>
            </w:r>
          </w:p>
        </w:tc>
        <w:tc>
          <w:tcPr>
            <w:tcW w:type="dxa" w:w="2494"/>
            <w:shd w:fill="D9EAF7"/>
            <w:vAlign w:val="center"/>
          </w:tcPr>
          <w:p>
            <w:pPr>
              <w:jc w:val="center"/>
            </w:pPr>
            <w:r>
              <w:rPr>
                <w:rFonts w:ascii="Times New Roman" w:hAnsi="Times New Roman"/>
                <w:b/>
                <w:sz w:val="15"/>
              </w:rPr>
              <w:t>Topik/Klaim</w:t>
            </w:r>
          </w:p>
        </w:tc>
        <w:tc>
          <w:tcPr>
            <w:tcW w:type="dxa" w:w="3969"/>
            <w:shd w:fill="D9EAF7"/>
            <w:vAlign w:val="center"/>
          </w:tcPr>
          <w:p>
            <w:pPr>
              <w:jc w:val="center"/>
            </w:pPr>
            <w:r>
              <w:rPr>
                <w:rFonts w:ascii="Times New Roman" w:hAnsi="Times New Roman"/>
                <w:b/>
                <w:sz w:val="15"/>
              </w:rPr>
              <w:t>Sumber primer/dokumen</w:t>
            </w:r>
          </w:p>
        </w:tc>
        <w:tc>
          <w:tcPr>
            <w:tcW w:type="dxa" w:w="1814"/>
            <w:shd w:fill="D9EAF7"/>
            <w:vAlign w:val="center"/>
          </w:tcPr>
          <w:p>
            <w:pPr>
              <w:jc w:val="center"/>
            </w:pPr>
            <w:r>
              <w:rPr>
                <w:rFonts w:ascii="Times New Roman" w:hAnsi="Times New Roman"/>
                <w:b/>
                <w:sz w:val="15"/>
              </w:rPr>
              <w:t>Jenis</w:t>
            </w:r>
          </w:p>
        </w:tc>
        <w:tc>
          <w:tcPr>
            <w:tcW w:type="dxa" w:w="1247"/>
            <w:shd w:fill="D9EAF7"/>
            <w:vAlign w:val="center"/>
          </w:tcPr>
          <w:p>
            <w:pPr>
              <w:jc w:val="center"/>
            </w:pPr>
            <w:r>
              <w:rPr>
                <w:rFonts w:ascii="Times New Roman" w:hAnsi="Times New Roman"/>
                <w:b/>
                <w:sz w:val="15"/>
              </w:rPr>
              <w:t>Periode</w:t>
            </w:r>
          </w:p>
        </w:tc>
        <w:tc>
          <w:tcPr>
            <w:tcW w:type="dxa" w:w="3402"/>
            <w:shd w:fill="D9EAF7"/>
            <w:vAlign w:val="center"/>
          </w:tcPr>
          <w:p>
            <w:pPr>
              <w:jc w:val="center"/>
            </w:pPr>
            <w:r>
              <w:rPr>
                <w:rFonts w:ascii="Times New Roman" w:hAnsi="Times New Roman"/>
                <w:b/>
                <w:sz w:val="15"/>
              </w:rPr>
              <w:t>Fungsi dalam buku</w:t>
            </w:r>
          </w:p>
        </w:tc>
        <w:tc>
          <w:tcPr>
            <w:tcW w:type="dxa" w:w="1531"/>
            <w:shd w:fill="D9EAF7"/>
            <w:vAlign w:val="center"/>
          </w:tcPr>
          <w:p>
            <w:pPr>
              <w:jc w:val="center"/>
            </w:pPr>
            <w:r>
              <w:rPr>
                <w:rFonts w:ascii="Times New Roman" w:hAnsi="Times New Roman"/>
                <w:b/>
                <w:sz w:val="15"/>
              </w:rPr>
              <w:t>Status</w:t>
            </w:r>
          </w:p>
        </w:tc>
        <w:tc>
          <w:tcPr>
            <w:tcW w:type="dxa" w:w="3969"/>
            <w:shd w:fill="D9EAF7"/>
            <w:vAlign w:val="center"/>
          </w:tcPr>
          <w:p>
            <w:pPr>
              <w:jc w:val="center"/>
            </w:pPr>
            <w:r>
              <w:rPr>
                <w:rFonts w:ascii="Times New Roman" w:hAnsi="Times New Roman"/>
                <w:b/>
                <w:sz w:val="15"/>
              </w:rPr>
              <w:t>Tautan resmi/utama</w:t>
            </w:r>
          </w:p>
        </w:tc>
      </w:tr>
      <w:tr>
        <w:trPr>
          <w:cantSplit/>
        </w:trPr>
        <w:tc>
          <w:tcPr>
            <w:tcW w:type="dxa" w:w="964"/>
            <w:vAlign w:val="top"/>
          </w:tcPr>
          <w:p>
            <w:r/>
            <w:r>
              <w:rPr>
                <w:rFonts w:ascii="Times New Roman" w:hAnsi="Times New Roman"/>
                <w:sz w:val="15"/>
              </w:rPr>
              <w:t>VII-01</w:t>
            </w:r>
          </w:p>
        </w:tc>
        <w:tc>
          <w:tcPr>
            <w:tcW w:type="dxa" w:w="2494"/>
            <w:vAlign w:val="top"/>
          </w:tcPr>
          <w:p>
            <w:r/>
            <w:r>
              <w:rPr>
                <w:rFonts w:ascii="Times New Roman" w:hAnsi="Times New Roman"/>
                <w:sz w:val="15"/>
              </w:rPr>
              <w:t>Definisi dan tata cara PMN</w:t>
            </w:r>
          </w:p>
        </w:tc>
        <w:tc>
          <w:tcPr>
            <w:tcW w:type="dxa" w:w="3969"/>
            <w:vAlign w:val="top"/>
          </w:tcPr>
          <w:p>
            <w:r>
              <w:rPr>
                <w:rFonts w:ascii="Times New Roman" w:hAnsi="Times New Roman"/>
                <w:sz w:val="15"/>
              </w:rPr>
              <w:t>PP Nomor 44 Tahun 2005 tentang Tata Cara Penyertaan dan Penatausahaan Modal Negara pada BUMN dan Perseroan Terbatas sebagaimana diubah dengan PP Nomor 72 Tahun 2016</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2005</w:t>
            </w:r>
          </w:p>
        </w:tc>
        <w:tc>
          <w:tcPr>
            <w:tcW w:type="dxa" w:w="3402"/>
            <w:vAlign w:val="top"/>
          </w:tcPr>
          <w:p>
            <w:r/>
            <w:r>
              <w:rPr>
                <w:rFonts w:ascii="Times New Roman" w:hAnsi="Times New Roman"/>
                <w:sz w:val="15"/>
              </w:rPr>
              <w:t>Basis definisi PMN sebagai pemisahan kekayaan negara dan dikelola secara korporasi.</w:t>
            </w:r>
          </w:p>
        </w:tc>
        <w:tc>
          <w:tcPr>
            <w:tcW w:type="dxa" w:w="1531"/>
            <w:vAlign w:val="top"/>
          </w:tcPr>
          <w:p>
            <w:r/>
            <w:r>
              <w:rPr>
                <w:rFonts w:ascii="Times New Roman" w:hAnsi="Times New Roman"/>
                <w:sz w:val="15"/>
              </w:rPr>
              <w:t>Pendukung primer</w:t>
            </w:r>
          </w:p>
        </w:tc>
        <w:tc>
          <w:tcPr>
            <w:tcW w:type="dxa" w:w="3969"/>
            <w:vAlign w:val="top"/>
          </w:tcPr>
          <w:p>
            <w:r>
              <w:rPr>
                <w:rFonts w:ascii="Times New Roman" w:hAnsi="Times New Roman"/>
                <w:sz w:val="15"/>
              </w:rPr>
              <w:t>https://peraturan.bpk.go.id/Details/49641/pp-no-44-tahun-2005</w:t>
            </w:r>
          </w:p>
        </w:tc>
      </w:tr>
      <w:tr>
        <w:trPr>
          <w:cantSplit/>
        </w:trPr>
        <w:tc>
          <w:tcPr>
            <w:tcW w:type="dxa" w:w="964"/>
            <w:vAlign w:val="top"/>
          </w:tcPr>
          <w:p>
            <w:r/>
            <w:r>
              <w:rPr>
                <w:rFonts w:ascii="Times New Roman" w:hAnsi="Times New Roman"/>
                <w:sz w:val="15"/>
              </w:rPr>
              <w:t>VII-02</w:t>
            </w:r>
          </w:p>
        </w:tc>
        <w:tc>
          <w:tcPr>
            <w:tcW w:type="dxa" w:w="2494"/>
            <w:vAlign w:val="top"/>
          </w:tcPr>
          <w:p>
            <w:r/>
            <w:r>
              <w:rPr>
                <w:rFonts w:ascii="Times New Roman" w:hAnsi="Times New Roman"/>
                <w:sz w:val="15"/>
              </w:rPr>
              <w:t>Modal BUMD/PMD</w:t>
            </w:r>
          </w:p>
        </w:tc>
        <w:tc>
          <w:tcPr>
            <w:tcW w:type="dxa" w:w="3969"/>
            <w:vAlign w:val="top"/>
          </w:tcPr>
          <w:p>
            <w:r/>
            <w:r>
              <w:rPr>
                <w:rFonts w:ascii="Times New Roman" w:hAnsi="Times New Roman"/>
                <w:sz w:val="15"/>
              </w:rPr>
              <w:t>PP Nomor 54 Tahun 2017 tentang BUMD</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2017</w:t>
            </w:r>
          </w:p>
        </w:tc>
        <w:tc>
          <w:tcPr>
            <w:tcW w:type="dxa" w:w="3402"/>
            <w:vAlign w:val="top"/>
          </w:tcPr>
          <w:p>
            <w:r/>
            <w:r>
              <w:rPr>
                <w:rFonts w:ascii="Times New Roman" w:hAnsi="Times New Roman"/>
                <w:sz w:val="15"/>
              </w:rPr>
              <w:t>Basis penambahan modal BUMD, pengembangan usaha, penguatan struktur permodalan/penugasan dan kebutuhan kajian.</w:t>
            </w:r>
          </w:p>
        </w:tc>
        <w:tc>
          <w:tcPr>
            <w:tcW w:type="dxa" w:w="1531"/>
            <w:vAlign w:val="top"/>
          </w:tcPr>
          <w:p>
            <w:r/>
            <w:r>
              <w:rPr>
                <w:rFonts w:ascii="Times New Roman" w:hAnsi="Times New Roman"/>
                <w:sz w:val="15"/>
              </w:rPr>
              <w:t>Eksplisit/utama</w:t>
            </w:r>
          </w:p>
        </w:tc>
        <w:tc>
          <w:tcPr>
            <w:tcW w:type="dxa" w:w="3969"/>
            <w:vAlign w:val="top"/>
          </w:tcPr>
          <w:p>
            <w:r/>
            <w:hyperlink r:id="rId44">
              <w:r>
                <w:rPr>
                  <w:color w:val="0563C1"/>
                  <w:u w:val="single"/>
                </w:rPr>
                <w:t>https://peraturan.bpk.go.id/Details/64765/pp-no-54-tahun-2017</w:t>
              </w:r>
            </w:hyperlink>
          </w:p>
        </w:tc>
      </w:tr>
      <w:tr>
        <w:trPr>
          <w:cantSplit/>
        </w:trPr>
        <w:tc>
          <w:tcPr>
            <w:tcW w:type="dxa" w:w="964"/>
            <w:vAlign w:val="top"/>
          </w:tcPr>
          <w:p>
            <w:r/>
            <w:r>
              <w:rPr>
                <w:rFonts w:ascii="Times New Roman" w:hAnsi="Times New Roman"/>
                <w:sz w:val="15"/>
              </w:rPr>
              <w:t>VII-03</w:t>
            </w:r>
          </w:p>
        </w:tc>
        <w:tc>
          <w:tcPr>
            <w:tcW w:type="dxa" w:w="2494"/>
            <w:vAlign w:val="top"/>
          </w:tcPr>
          <w:p>
            <w:r/>
            <w:r>
              <w:rPr>
                <w:rFonts w:ascii="Times New Roman" w:hAnsi="Times New Roman"/>
                <w:sz w:val="15"/>
              </w:rPr>
              <w:t>Lembaga Pembiayaan A</w:t>
            </w:r>
          </w:p>
        </w:tc>
        <w:tc>
          <w:tcPr>
            <w:tcW w:type="dxa" w:w="3969"/>
            <w:vAlign w:val="top"/>
          </w:tcPr>
          <w:p>
            <w:r/>
            <w:r>
              <w:rPr>
                <w:rFonts w:ascii="Times New Roman" w:hAnsi="Times New Roman"/>
                <w:sz w:val="15"/>
              </w:rPr>
              <w:t>Data ilustratif versi buku final</w:t>
            </w:r>
          </w:p>
        </w:tc>
        <w:tc>
          <w:tcPr>
            <w:tcW w:type="dxa" w:w="1814"/>
            <w:vAlign w:val="top"/>
          </w:tcPr>
          <w:p>
            <w:r/>
            <w:r>
              <w:rPr>
                <w:rFonts w:ascii="Times New Roman" w:hAnsi="Times New Roman"/>
                <w:sz w:val="15"/>
              </w:rPr>
              <w:t>ILUSTRATIF</w:t>
            </w:r>
          </w:p>
        </w:tc>
        <w:tc>
          <w:tcPr>
            <w:tcW w:type="dxa" w:w="1247"/>
            <w:vAlign w:val="top"/>
          </w:tcPr>
          <w:p>
            <w:r/>
            <w:r>
              <w:rPr>
                <w:rFonts w:ascii="Times New Roman" w:hAnsi="Times New Roman"/>
                <w:sz w:val="15"/>
              </w:rPr>
              <w:t>2026</w:t>
            </w:r>
          </w:p>
        </w:tc>
        <w:tc>
          <w:tcPr>
            <w:tcW w:type="dxa" w:w="3402"/>
            <w:vAlign w:val="top"/>
          </w:tcPr>
          <w:p>
            <w:r/>
            <w:r>
              <w:rPr>
                <w:rFonts w:ascii="Times New Roman" w:hAnsi="Times New Roman"/>
                <w:sz w:val="15"/>
              </w:rPr>
              <w:t>Identitas dan angka dimodifikasi; tidak ada sumber institusional asli di portal.</w:t>
            </w:r>
          </w:p>
        </w:tc>
        <w:tc>
          <w:tcPr>
            <w:tcW w:type="dxa" w:w="1531"/>
            <w:vAlign w:val="top"/>
          </w:tcPr>
          <w:p>
            <w:r/>
            <w:r>
              <w:rPr>
                <w:rFonts w:ascii="Times New Roman" w:hAnsi="Times New Roman"/>
                <w:sz w:val="15"/>
              </w:rPr>
              <w:t>ANONYMIZED</w:t>
            </w:r>
          </w:p>
        </w:tc>
        <w:tc>
          <w:tcPr>
            <w:tcW w:type="dxa" w:w="3969"/>
            <w:vAlign w:val="top"/>
          </w:tcPr>
          <w:p>
            <w:r/>
            <w:r>
              <w:rPr>
                <w:rFonts w:ascii="Times New Roman" w:hAnsi="Times New Roman"/>
                <w:sz w:val="15"/>
              </w:rPr>
              <w:t>—</w:t>
            </w:r>
          </w:p>
        </w:tc>
      </w:tr>
      <w:tr>
        <w:trPr>
          <w:cantSplit/>
        </w:trPr>
        <w:tc>
          <w:tcPr>
            <w:tcW w:type="dxa" w:w="964"/>
            <w:vAlign w:val="top"/>
          </w:tcPr>
          <w:p>
            <w:r/>
            <w:r>
              <w:rPr>
                <w:rFonts w:ascii="Times New Roman" w:hAnsi="Times New Roman"/>
                <w:sz w:val="15"/>
              </w:rPr>
              <w:t>VII-04</w:t>
            </w:r>
          </w:p>
        </w:tc>
        <w:tc>
          <w:tcPr>
            <w:tcW w:type="dxa" w:w="2494"/>
            <w:vAlign w:val="top"/>
          </w:tcPr>
          <w:p>
            <w:r/>
            <w:r>
              <w:rPr>
                <w:rFonts w:ascii="Times New Roman" w:hAnsi="Times New Roman"/>
                <w:sz w:val="15"/>
              </w:rPr>
              <w:t>Capital preservation/leverage/recycling/crowding-in</w:t>
            </w:r>
          </w:p>
        </w:tc>
        <w:tc>
          <w:tcPr>
            <w:tcW w:type="dxa" w:w="3969"/>
            <w:vAlign w:val="top"/>
          </w:tcPr>
          <w:p>
            <w:r/>
            <w:r>
              <w:rPr>
                <w:rFonts w:ascii="Times New Roman" w:hAnsi="Times New Roman"/>
                <w:sz w:val="15"/>
              </w:rPr>
              <w:t>Kerangka penulis</w:t>
            </w:r>
          </w:p>
        </w:tc>
        <w:tc>
          <w:tcPr>
            <w:tcW w:type="dxa" w:w="1814"/>
            <w:vAlign w:val="top"/>
          </w:tcPr>
          <w:p>
            <w:r/>
            <w:r>
              <w:rPr>
                <w:rFonts w:ascii="Times New Roman" w:hAnsi="Times New Roman"/>
                <w:sz w:val="15"/>
              </w:rPr>
              <w:t>KERANGKA PENULIS</w:t>
            </w:r>
          </w:p>
        </w:tc>
        <w:tc>
          <w:tcPr>
            <w:tcW w:type="dxa" w:w="1247"/>
            <w:vAlign w:val="top"/>
          </w:tcPr>
          <w:p>
            <w:r/>
            <w:r>
              <w:rPr>
                <w:rFonts w:ascii="Times New Roman" w:hAnsi="Times New Roman"/>
                <w:sz w:val="15"/>
              </w:rPr>
              <w:t>2026</w:t>
            </w:r>
          </w:p>
        </w:tc>
        <w:tc>
          <w:tcPr>
            <w:tcW w:type="dxa" w:w="3402"/>
            <w:vAlign w:val="top"/>
          </w:tcPr>
          <w:p>
            <w:r/>
            <w:r>
              <w:rPr>
                <w:rFonts w:ascii="Times New Roman" w:hAnsi="Times New Roman"/>
                <w:sz w:val="15"/>
              </w:rPr>
              <w:t>Framework evaluasi public capital setelah penempatan.</w:t>
            </w:r>
          </w:p>
        </w:tc>
        <w:tc>
          <w:tcPr>
            <w:tcW w:type="dxa" w:w="1531"/>
            <w:vAlign w:val="top"/>
          </w:tcPr>
          <w:p>
            <w:r/>
            <w:r>
              <w:rPr>
                <w:rFonts w:ascii="Times New Roman" w:hAnsi="Times New Roman"/>
                <w:sz w:val="15"/>
              </w:rPr>
              <w:t>Author framework</w:t>
            </w:r>
          </w:p>
        </w:tc>
        <w:tc>
          <w:tcPr>
            <w:tcW w:type="dxa" w:w="3969"/>
            <w:vAlign w:val="top"/>
          </w:tcPr>
          <w:p>
            <w:r/>
            <w:r>
              <w:rPr>
                <w:rFonts w:ascii="Times New Roman" w:hAnsi="Times New Roman"/>
                <w:sz w:val="15"/>
              </w:rPr>
              <w:t>—</w:t>
            </w:r>
          </w:p>
        </w:tc>
      </w:tr>
    </w:tbl>
    <w:p/>
    <w:p>
      <w:pPr>
        <w:pStyle w:val="Heading1"/>
      </w:pPr>
      <w:r>
        <w:t>BAB VIII - Ketika Penjualan dan Pinjaman Menjadi Mahkota</w:t>
      </w:r>
    </w:p>
    <w:tbl>
      <w:tblPr>
        <w:tblStyle w:val="TableGrid"/>
        <w:tblW w:type="auto" w:w="0"/>
        <w:jc w:val="center"/>
        <w:tblLook w:firstColumn="1" w:firstRow="1" w:lastColumn="0" w:lastRow="0" w:noHBand="0" w:noVBand="1" w:val="04A0"/>
      </w:tblPr>
      <w:tblGrid>
        <w:gridCol w:w="1935"/>
        <w:gridCol w:w="1935"/>
        <w:gridCol w:w="1935"/>
        <w:gridCol w:w="1935"/>
        <w:gridCol w:w="1935"/>
        <w:gridCol w:w="1935"/>
        <w:gridCol w:w="1935"/>
        <w:gridCol w:w="1935"/>
      </w:tblGrid>
      <w:tr>
        <w:tc>
          <w:tcPr>
            <w:tcW w:type="dxa" w:w="964"/>
            <w:shd w:fill="D9EAF7"/>
            <w:vAlign w:val="center"/>
          </w:tcPr>
          <w:p>
            <w:pPr>
              <w:jc w:val="center"/>
            </w:pPr>
            <w:r>
              <w:rPr>
                <w:rFonts w:ascii="Times New Roman" w:hAnsi="Times New Roman"/>
                <w:b/>
                <w:sz w:val="15"/>
              </w:rPr>
              <w:t>Kode</w:t>
            </w:r>
          </w:p>
        </w:tc>
        <w:tc>
          <w:tcPr>
            <w:tcW w:type="dxa" w:w="2494"/>
            <w:shd w:fill="D9EAF7"/>
            <w:vAlign w:val="center"/>
          </w:tcPr>
          <w:p>
            <w:pPr>
              <w:jc w:val="center"/>
            </w:pPr>
            <w:r>
              <w:rPr>
                <w:rFonts w:ascii="Times New Roman" w:hAnsi="Times New Roman"/>
                <w:b/>
                <w:sz w:val="15"/>
              </w:rPr>
              <w:t>Topik/Klaim</w:t>
            </w:r>
          </w:p>
        </w:tc>
        <w:tc>
          <w:tcPr>
            <w:tcW w:type="dxa" w:w="3969"/>
            <w:shd w:fill="D9EAF7"/>
            <w:vAlign w:val="center"/>
          </w:tcPr>
          <w:p>
            <w:pPr>
              <w:jc w:val="center"/>
            </w:pPr>
            <w:r>
              <w:rPr>
                <w:rFonts w:ascii="Times New Roman" w:hAnsi="Times New Roman"/>
                <w:b/>
                <w:sz w:val="15"/>
              </w:rPr>
              <w:t>Sumber primer/dokumen</w:t>
            </w:r>
          </w:p>
        </w:tc>
        <w:tc>
          <w:tcPr>
            <w:tcW w:type="dxa" w:w="1814"/>
            <w:shd w:fill="D9EAF7"/>
            <w:vAlign w:val="center"/>
          </w:tcPr>
          <w:p>
            <w:pPr>
              <w:jc w:val="center"/>
            </w:pPr>
            <w:r>
              <w:rPr>
                <w:rFonts w:ascii="Times New Roman" w:hAnsi="Times New Roman"/>
                <w:b/>
                <w:sz w:val="15"/>
              </w:rPr>
              <w:t>Jenis</w:t>
            </w:r>
          </w:p>
        </w:tc>
        <w:tc>
          <w:tcPr>
            <w:tcW w:type="dxa" w:w="1247"/>
            <w:shd w:fill="D9EAF7"/>
            <w:vAlign w:val="center"/>
          </w:tcPr>
          <w:p>
            <w:pPr>
              <w:jc w:val="center"/>
            </w:pPr>
            <w:r>
              <w:rPr>
                <w:rFonts w:ascii="Times New Roman" w:hAnsi="Times New Roman"/>
                <w:b/>
                <w:sz w:val="15"/>
              </w:rPr>
              <w:t>Periode</w:t>
            </w:r>
          </w:p>
        </w:tc>
        <w:tc>
          <w:tcPr>
            <w:tcW w:type="dxa" w:w="3402"/>
            <w:shd w:fill="D9EAF7"/>
            <w:vAlign w:val="center"/>
          </w:tcPr>
          <w:p>
            <w:pPr>
              <w:jc w:val="center"/>
            </w:pPr>
            <w:r>
              <w:rPr>
                <w:rFonts w:ascii="Times New Roman" w:hAnsi="Times New Roman"/>
                <w:b/>
                <w:sz w:val="15"/>
              </w:rPr>
              <w:t>Fungsi dalam buku</w:t>
            </w:r>
          </w:p>
        </w:tc>
        <w:tc>
          <w:tcPr>
            <w:tcW w:type="dxa" w:w="1531"/>
            <w:shd w:fill="D9EAF7"/>
            <w:vAlign w:val="center"/>
          </w:tcPr>
          <w:p>
            <w:pPr>
              <w:jc w:val="center"/>
            </w:pPr>
            <w:r>
              <w:rPr>
                <w:rFonts w:ascii="Times New Roman" w:hAnsi="Times New Roman"/>
                <w:b/>
                <w:sz w:val="15"/>
              </w:rPr>
              <w:t>Status</w:t>
            </w:r>
          </w:p>
        </w:tc>
        <w:tc>
          <w:tcPr>
            <w:tcW w:type="dxa" w:w="3969"/>
            <w:shd w:fill="D9EAF7"/>
            <w:vAlign w:val="center"/>
          </w:tcPr>
          <w:p>
            <w:pPr>
              <w:jc w:val="center"/>
            </w:pPr>
            <w:r>
              <w:rPr>
                <w:rFonts w:ascii="Times New Roman" w:hAnsi="Times New Roman"/>
                <w:b/>
                <w:sz w:val="15"/>
              </w:rPr>
              <w:t>Tautan resmi/utama</w:t>
            </w:r>
          </w:p>
        </w:tc>
      </w:tr>
      <w:tr>
        <w:trPr>
          <w:cantSplit/>
        </w:trPr>
        <w:tc>
          <w:tcPr>
            <w:tcW w:type="dxa" w:w="964"/>
            <w:vAlign w:val="top"/>
          </w:tcPr>
          <w:p>
            <w:r/>
            <w:r>
              <w:rPr>
                <w:rFonts w:ascii="Times New Roman" w:hAnsi="Times New Roman"/>
                <w:sz w:val="15"/>
              </w:rPr>
              <w:t>VIII-01</w:t>
            </w:r>
          </w:p>
        </w:tc>
        <w:tc>
          <w:tcPr>
            <w:tcW w:type="dxa" w:w="2494"/>
            <w:vAlign w:val="top"/>
          </w:tcPr>
          <w:p>
            <w:r/>
            <w:r>
              <w:rPr>
                <w:rFonts w:ascii="Times New Roman" w:hAnsi="Times New Roman"/>
                <w:sz w:val="15"/>
              </w:rPr>
              <w:t>Kebijakan KUR 2026 - akses, debitur baru/graduasi</w:t>
            </w:r>
          </w:p>
        </w:tc>
        <w:tc>
          <w:tcPr>
            <w:tcW w:type="dxa" w:w="3969"/>
            <w:vAlign w:val="top"/>
          </w:tcPr>
          <w:p>
            <w:r/>
            <w:r>
              <w:rPr>
                <w:rFonts w:ascii="Times New Roman" w:hAnsi="Times New Roman"/>
                <w:sz w:val="15"/>
              </w:rPr>
              <w:t>Kemenko Perekonomian - Konsolidasi Kredit Program Pemerintah 2026 / publikasi KUR 2026</w:t>
            </w:r>
          </w:p>
        </w:tc>
        <w:tc>
          <w:tcPr>
            <w:tcW w:type="dxa" w:w="1814"/>
            <w:vAlign w:val="top"/>
          </w:tcPr>
          <w:p>
            <w:r/>
            <w:r>
              <w:rPr>
                <w:rFonts w:ascii="Times New Roman" w:hAnsi="Times New Roman"/>
                <w:sz w:val="15"/>
              </w:rPr>
              <w:t>DATA PUBLIK RESMI</w:t>
            </w:r>
          </w:p>
        </w:tc>
        <w:tc>
          <w:tcPr>
            <w:tcW w:type="dxa" w:w="1247"/>
            <w:vAlign w:val="top"/>
          </w:tcPr>
          <w:p>
            <w:r/>
            <w:r>
              <w:rPr>
                <w:rFonts w:ascii="Times New Roman" w:hAnsi="Times New Roman"/>
                <w:sz w:val="15"/>
              </w:rPr>
              <w:t>2026</w:t>
            </w:r>
          </w:p>
        </w:tc>
        <w:tc>
          <w:tcPr>
            <w:tcW w:type="dxa" w:w="3402"/>
            <w:vAlign w:val="top"/>
          </w:tcPr>
          <w:p>
            <w:r/>
            <w:r>
              <w:rPr>
                <w:rFonts w:ascii="Times New Roman" w:hAnsi="Times New Roman"/>
                <w:sz w:val="15"/>
              </w:rPr>
              <w:t>Referensi publik untuk pentingnya debitur baru, graduasi/naik kelas dan kualitas penyaluran.</w:t>
            </w:r>
          </w:p>
        </w:tc>
        <w:tc>
          <w:tcPr>
            <w:tcW w:type="dxa" w:w="1531"/>
            <w:vAlign w:val="top"/>
          </w:tcPr>
          <w:p>
            <w:r/>
            <w:r>
              <w:rPr>
                <w:rFonts w:ascii="Times New Roman" w:hAnsi="Times New Roman"/>
                <w:sz w:val="15"/>
              </w:rPr>
              <w:t>Eksplisit/pendukung</w:t>
            </w:r>
          </w:p>
        </w:tc>
        <w:tc>
          <w:tcPr>
            <w:tcW w:type="dxa" w:w="3969"/>
            <w:vAlign w:val="top"/>
          </w:tcPr>
          <w:p>
            <w:r/>
            <w:hyperlink r:id="rId45">
              <w:r>
                <w:rPr>
                  <w:color w:val="0563C1"/>
                  <w:u w:val="single"/>
                </w:rPr>
                <w:t>https://www.ekon.go.id/publikasi/detail/6784/konsolidasi-kredit-program-pemerintah-2026-perkuat-pedoman-pelaksanaan-kredit-program-optimalkan-penyaluran-dan-wujudkan-pertumbuhan-ekonomi-inklusif-berbasis-usaha-mikro-dan-kecil</w:t>
              </w:r>
            </w:hyperlink>
          </w:p>
        </w:tc>
      </w:tr>
      <w:tr>
        <w:trPr>
          <w:cantSplit/>
        </w:trPr>
        <w:tc>
          <w:tcPr>
            <w:tcW w:type="dxa" w:w="964"/>
            <w:vAlign w:val="top"/>
          </w:tcPr>
          <w:p>
            <w:r/>
            <w:r>
              <w:rPr>
                <w:rFonts w:ascii="Times New Roman" w:hAnsi="Times New Roman"/>
                <w:sz w:val="15"/>
              </w:rPr>
              <w:t>VIII-02</w:t>
            </w:r>
          </w:p>
        </w:tc>
        <w:tc>
          <w:tcPr>
            <w:tcW w:type="dxa" w:w="2494"/>
            <w:vAlign w:val="top"/>
          </w:tcPr>
          <w:p>
            <w:r/>
            <w:r>
              <w:rPr>
                <w:rFonts w:ascii="Times New Roman" w:hAnsi="Times New Roman"/>
                <w:sz w:val="15"/>
              </w:rPr>
              <w:t>Dana bergulir ilustratif</w:t>
            </w:r>
          </w:p>
        </w:tc>
        <w:tc>
          <w:tcPr>
            <w:tcW w:type="dxa" w:w="3969"/>
            <w:vAlign w:val="top"/>
          </w:tcPr>
          <w:p>
            <w:r/>
            <w:r>
              <w:rPr>
                <w:rFonts w:ascii="Times New Roman" w:hAnsi="Times New Roman"/>
                <w:sz w:val="15"/>
              </w:rPr>
              <w:t>Data ilustratif versi buku final: Lancar 424,95; KL 27,12; Diragukan 3,07; Macet 666,25; total 1.121,39; tidak lancar 62,10%</w:t>
            </w:r>
          </w:p>
        </w:tc>
        <w:tc>
          <w:tcPr>
            <w:tcW w:type="dxa" w:w="1814"/>
            <w:vAlign w:val="top"/>
          </w:tcPr>
          <w:p>
            <w:r/>
            <w:r>
              <w:rPr>
                <w:rFonts w:ascii="Times New Roman" w:hAnsi="Times New Roman"/>
                <w:sz w:val="15"/>
              </w:rPr>
              <w:t>ILUSTRATIF</w:t>
            </w:r>
          </w:p>
        </w:tc>
        <w:tc>
          <w:tcPr>
            <w:tcW w:type="dxa" w:w="1247"/>
            <w:vAlign w:val="top"/>
          </w:tcPr>
          <w:p>
            <w:r/>
            <w:r>
              <w:rPr>
                <w:rFonts w:ascii="Times New Roman" w:hAnsi="Times New Roman"/>
                <w:sz w:val="15"/>
              </w:rPr>
              <w:t>2026</w:t>
            </w:r>
          </w:p>
        </w:tc>
        <w:tc>
          <w:tcPr>
            <w:tcW w:type="dxa" w:w="3402"/>
            <w:vAlign w:val="top"/>
          </w:tcPr>
          <w:p>
            <w:r/>
            <w:r>
              <w:rPr>
                <w:rFonts w:ascii="Times New Roman" w:hAnsi="Times New Roman"/>
                <w:sz w:val="15"/>
              </w:rPr>
              <w:t>Hanya angka ilustratif final; sumber/identitas asli tidak disimpan dan tidak dipulihkan di Digital Companion.</w:t>
            </w:r>
          </w:p>
        </w:tc>
        <w:tc>
          <w:tcPr>
            <w:tcW w:type="dxa" w:w="1531"/>
            <w:vAlign w:val="top"/>
          </w:tcPr>
          <w:p>
            <w:r/>
            <w:r>
              <w:rPr>
                <w:rFonts w:ascii="Times New Roman" w:hAnsi="Times New Roman"/>
                <w:sz w:val="15"/>
              </w:rPr>
              <w:t>ANONYMIZED</w:t>
            </w:r>
          </w:p>
        </w:tc>
        <w:tc>
          <w:tcPr>
            <w:tcW w:type="dxa" w:w="3969"/>
            <w:vAlign w:val="top"/>
          </w:tcPr>
          <w:p>
            <w:r/>
            <w:r>
              <w:rPr>
                <w:rFonts w:ascii="Times New Roman" w:hAnsi="Times New Roman"/>
                <w:sz w:val="15"/>
              </w:rPr>
              <w:t>—</w:t>
            </w:r>
          </w:p>
        </w:tc>
      </w:tr>
      <w:tr>
        <w:trPr>
          <w:cantSplit/>
        </w:trPr>
        <w:tc>
          <w:tcPr>
            <w:tcW w:type="dxa" w:w="964"/>
            <w:vAlign w:val="top"/>
          </w:tcPr>
          <w:p>
            <w:r/>
            <w:r>
              <w:rPr>
                <w:rFonts w:ascii="Times New Roman" w:hAnsi="Times New Roman"/>
                <w:sz w:val="15"/>
              </w:rPr>
              <w:t>VIII-03</w:t>
            </w:r>
          </w:p>
        </w:tc>
        <w:tc>
          <w:tcPr>
            <w:tcW w:type="dxa" w:w="2494"/>
            <w:vAlign w:val="top"/>
          </w:tcPr>
          <w:p>
            <w:r/>
            <w:r>
              <w:rPr>
                <w:rFonts w:ascii="Times New Roman" w:hAnsi="Times New Roman"/>
                <w:sz w:val="15"/>
              </w:rPr>
              <w:t>Lembaga Pembiayaan A - kualitas aset</w:t>
            </w:r>
          </w:p>
        </w:tc>
        <w:tc>
          <w:tcPr>
            <w:tcW w:type="dxa" w:w="3969"/>
            <w:vAlign w:val="top"/>
          </w:tcPr>
          <w:p>
            <w:r/>
            <w:r>
              <w:rPr>
                <w:rFonts w:ascii="Times New Roman" w:hAnsi="Times New Roman"/>
                <w:sz w:val="15"/>
              </w:rPr>
              <w:t>Data ilustratif versi buku final: recovery 4,23T; NPF net 4,07%→2,17%; NPF gross 26,16%→27,82%</w:t>
            </w:r>
          </w:p>
        </w:tc>
        <w:tc>
          <w:tcPr>
            <w:tcW w:type="dxa" w:w="1814"/>
            <w:vAlign w:val="top"/>
          </w:tcPr>
          <w:p>
            <w:r/>
            <w:r>
              <w:rPr>
                <w:rFonts w:ascii="Times New Roman" w:hAnsi="Times New Roman"/>
                <w:sz w:val="15"/>
              </w:rPr>
              <w:t>ILUSTRATIF</w:t>
            </w:r>
          </w:p>
        </w:tc>
        <w:tc>
          <w:tcPr>
            <w:tcW w:type="dxa" w:w="1247"/>
            <w:vAlign w:val="top"/>
          </w:tcPr>
          <w:p>
            <w:r/>
            <w:r>
              <w:rPr>
                <w:rFonts w:ascii="Times New Roman" w:hAnsi="Times New Roman"/>
                <w:sz w:val="15"/>
              </w:rPr>
              <w:t>2026</w:t>
            </w:r>
          </w:p>
        </w:tc>
        <w:tc>
          <w:tcPr>
            <w:tcW w:type="dxa" w:w="3402"/>
            <w:vAlign w:val="top"/>
          </w:tcPr>
          <w:p>
            <w:r/>
            <w:r>
              <w:rPr>
                <w:rFonts w:ascii="Times New Roman" w:hAnsi="Times New Roman"/>
                <w:sz w:val="15"/>
              </w:rPr>
              <w:t>Arah tren dipertahankan; identitas dan angka asal tidak tersedia di portal.</w:t>
            </w:r>
          </w:p>
        </w:tc>
        <w:tc>
          <w:tcPr>
            <w:tcW w:type="dxa" w:w="1531"/>
            <w:vAlign w:val="top"/>
          </w:tcPr>
          <w:p>
            <w:r/>
            <w:r>
              <w:rPr>
                <w:rFonts w:ascii="Times New Roman" w:hAnsi="Times New Roman"/>
                <w:sz w:val="15"/>
              </w:rPr>
              <w:t>ANONYMIZED</w:t>
            </w:r>
          </w:p>
        </w:tc>
        <w:tc>
          <w:tcPr>
            <w:tcW w:type="dxa" w:w="3969"/>
            <w:vAlign w:val="top"/>
          </w:tcPr>
          <w:p>
            <w:r/>
            <w:r>
              <w:rPr>
                <w:rFonts w:ascii="Times New Roman" w:hAnsi="Times New Roman"/>
                <w:sz w:val="15"/>
              </w:rPr>
              <w:t>—</w:t>
            </w:r>
          </w:p>
        </w:tc>
      </w:tr>
      <w:tr>
        <w:trPr>
          <w:cantSplit/>
        </w:trPr>
        <w:tc>
          <w:tcPr>
            <w:tcW w:type="dxa" w:w="964"/>
            <w:vAlign w:val="top"/>
          </w:tcPr>
          <w:p>
            <w:r/>
            <w:r>
              <w:rPr>
                <w:rFonts w:ascii="Times New Roman" w:hAnsi="Times New Roman"/>
                <w:sz w:val="15"/>
              </w:rPr>
              <w:t>VIII-04</w:t>
            </w:r>
          </w:p>
        </w:tc>
        <w:tc>
          <w:tcPr>
            <w:tcW w:type="dxa" w:w="2494"/>
            <w:vAlign w:val="top"/>
          </w:tcPr>
          <w:p>
            <w:r/>
            <w:r>
              <w:rPr>
                <w:rFonts w:ascii="Times New Roman" w:hAnsi="Times New Roman"/>
                <w:sz w:val="15"/>
              </w:rPr>
              <w:t>Conversion gap, CCC, endpoint discipline</w:t>
            </w:r>
          </w:p>
        </w:tc>
        <w:tc>
          <w:tcPr>
            <w:tcW w:type="dxa" w:w="3969"/>
            <w:vAlign w:val="top"/>
          </w:tcPr>
          <w:p>
            <w:r/>
            <w:r>
              <w:rPr>
                <w:rFonts w:ascii="Times New Roman" w:hAnsi="Times New Roman"/>
                <w:sz w:val="15"/>
              </w:rPr>
              <w:t>Kerangka penulis</w:t>
            </w:r>
          </w:p>
        </w:tc>
        <w:tc>
          <w:tcPr>
            <w:tcW w:type="dxa" w:w="1814"/>
            <w:vAlign w:val="top"/>
          </w:tcPr>
          <w:p>
            <w:r/>
            <w:r>
              <w:rPr>
                <w:rFonts w:ascii="Times New Roman" w:hAnsi="Times New Roman"/>
                <w:sz w:val="15"/>
              </w:rPr>
              <w:t>KERANGKA PENULIS</w:t>
            </w:r>
          </w:p>
        </w:tc>
        <w:tc>
          <w:tcPr>
            <w:tcW w:type="dxa" w:w="1247"/>
            <w:vAlign w:val="top"/>
          </w:tcPr>
          <w:p>
            <w:r/>
            <w:r>
              <w:rPr>
                <w:rFonts w:ascii="Times New Roman" w:hAnsi="Times New Roman"/>
                <w:sz w:val="15"/>
              </w:rPr>
              <w:t>2026</w:t>
            </w:r>
          </w:p>
        </w:tc>
        <w:tc>
          <w:tcPr>
            <w:tcW w:type="dxa" w:w="3402"/>
            <w:vAlign w:val="top"/>
          </w:tcPr>
          <w:p>
            <w:r/>
            <w:r>
              <w:rPr>
                <w:rFonts w:ascii="Times New Roman" w:hAnsi="Times New Roman"/>
                <w:sz w:val="15"/>
              </w:rPr>
              <w:t>Alat diagnosis transaksi → conversion → realization → value.</w:t>
            </w:r>
          </w:p>
        </w:tc>
        <w:tc>
          <w:tcPr>
            <w:tcW w:type="dxa" w:w="1531"/>
            <w:vAlign w:val="top"/>
          </w:tcPr>
          <w:p>
            <w:r/>
            <w:r>
              <w:rPr>
                <w:rFonts w:ascii="Times New Roman" w:hAnsi="Times New Roman"/>
                <w:sz w:val="15"/>
              </w:rPr>
              <w:t>Author framework</w:t>
            </w:r>
          </w:p>
        </w:tc>
        <w:tc>
          <w:tcPr>
            <w:tcW w:type="dxa" w:w="3969"/>
            <w:vAlign w:val="top"/>
          </w:tcPr>
          <w:p>
            <w:r/>
            <w:r>
              <w:rPr>
                <w:rFonts w:ascii="Times New Roman" w:hAnsi="Times New Roman"/>
                <w:sz w:val="15"/>
              </w:rPr>
              <w:t>—</w:t>
            </w:r>
          </w:p>
        </w:tc>
      </w:tr>
    </w:tbl>
    <w:p/>
    <w:p>
      <w:pPr>
        <w:pStyle w:val="Heading1"/>
      </w:pPr>
      <w:r>
        <w:t>BAB IX - Dua Pintu Besar Risiko Perpindahan Nilai</w:t>
      </w:r>
    </w:p>
    <w:tbl>
      <w:tblPr>
        <w:tblStyle w:val="TableGrid"/>
        <w:tblW w:type="auto" w:w="0"/>
        <w:jc w:val="center"/>
        <w:tblLook w:firstColumn="1" w:firstRow="1" w:lastColumn="0" w:lastRow="0" w:noHBand="0" w:noVBand="1" w:val="04A0"/>
      </w:tblPr>
      <w:tblGrid>
        <w:gridCol w:w="1935"/>
        <w:gridCol w:w="1935"/>
        <w:gridCol w:w="1935"/>
        <w:gridCol w:w="1935"/>
        <w:gridCol w:w="1935"/>
        <w:gridCol w:w="1935"/>
        <w:gridCol w:w="1935"/>
        <w:gridCol w:w="1935"/>
      </w:tblGrid>
      <w:tr>
        <w:tc>
          <w:tcPr>
            <w:tcW w:type="dxa" w:w="964"/>
            <w:shd w:fill="D9EAF7"/>
            <w:vAlign w:val="center"/>
          </w:tcPr>
          <w:p>
            <w:pPr>
              <w:jc w:val="center"/>
            </w:pPr>
            <w:r>
              <w:rPr>
                <w:rFonts w:ascii="Times New Roman" w:hAnsi="Times New Roman"/>
                <w:b/>
                <w:sz w:val="15"/>
              </w:rPr>
              <w:t>Kode</w:t>
            </w:r>
          </w:p>
        </w:tc>
        <w:tc>
          <w:tcPr>
            <w:tcW w:type="dxa" w:w="2494"/>
            <w:shd w:fill="D9EAF7"/>
            <w:vAlign w:val="center"/>
          </w:tcPr>
          <w:p>
            <w:pPr>
              <w:jc w:val="center"/>
            </w:pPr>
            <w:r>
              <w:rPr>
                <w:rFonts w:ascii="Times New Roman" w:hAnsi="Times New Roman"/>
                <w:b/>
                <w:sz w:val="15"/>
              </w:rPr>
              <w:t>Topik/Klaim</w:t>
            </w:r>
          </w:p>
        </w:tc>
        <w:tc>
          <w:tcPr>
            <w:tcW w:type="dxa" w:w="3969"/>
            <w:shd w:fill="D9EAF7"/>
            <w:vAlign w:val="center"/>
          </w:tcPr>
          <w:p>
            <w:pPr>
              <w:jc w:val="center"/>
            </w:pPr>
            <w:r>
              <w:rPr>
                <w:rFonts w:ascii="Times New Roman" w:hAnsi="Times New Roman"/>
                <w:b/>
                <w:sz w:val="15"/>
              </w:rPr>
              <w:t>Sumber primer/dokumen</w:t>
            </w:r>
          </w:p>
        </w:tc>
        <w:tc>
          <w:tcPr>
            <w:tcW w:type="dxa" w:w="1814"/>
            <w:shd w:fill="D9EAF7"/>
            <w:vAlign w:val="center"/>
          </w:tcPr>
          <w:p>
            <w:pPr>
              <w:jc w:val="center"/>
            </w:pPr>
            <w:r>
              <w:rPr>
                <w:rFonts w:ascii="Times New Roman" w:hAnsi="Times New Roman"/>
                <w:b/>
                <w:sz w:val="15"/>
              </w:rPr>
              <w:t>Jenis</w:t>
            </w:r>
          </w:p>
        </w:tc>
        <w:tc>
          <w:tcPr>
            <w:tcW w:type="dxa" w:w="1247"/>
            <w:shd w:fill="D9EAF7"/>
            <w:vAlign w:val="center"/>
          </w:tcPr>
          <w:p>
            <w:pPr>
              <w:jc w:val="center"/>
            </w:pPr>
            <w:r>
              <w:rPr>
                <w:rFonts w:ascii="Times New Roman" w:hAnsi="Times New Roman"/>
                <w:b/>
                <w:sz w:val="15"/>
              </w:rPr>
              <w:t>Periode</w:t>
            </w:r>
          </w:p>
        </w:tc>
        <w:tc>
          <w:tcPr>
            <w:tcW w:type="dxa" w:w="3402"/>
            <w:shd w:fill="D9EAF7"/>
            <w:vAlign w:val="center"/>
          </w:tcPr>
          <w:p>
            <w:pPr>
              <w:jc w:val="center"/>
            </w:pPr>
            <w:r>
              <w:rPr>
                <w:rFonts w:ascii="Times New Roman" w:hAnsi="Times New Roman"/>
                <w:b/>
                <w:sz w:val="15"/>
              </w:rPr>
              <w:t>Fungsi dalam buku</w:t>
            </w:r>
          </w:p>
        </w:tc>
        <w:tc>
          <w:tcPr>
            <w:tcW w:type="dxa" w:w="1531"/>
            <w:shd w:fill="D9EAF7"/>
            <w:vAlign w:val="center"/>
          </w:tcPr>
          <w:p>
            <w:pPr>
              <w:jc w:val="center"/>
            </w:pPr>
            <w:r>
              <w:rPr>
                <w:rFonts w:ascii="Times New Roman" w:hAnsi="Times New Roman"/>
                <w:b/>
                <w:sz w:val="15"/>
              </w:rPr>
              <w:t>Status</w:t>
            </w:r>
          </w:p>
        </w:tc>
        <w:tc>
          <w:tcPr>
            <w:tcW w:type="dxa" w:w="3969"/>
            <w:shd w:fill="D9EAF7"/>
            <w:vAlign w:val="center"/>
          </w:tcPr>
          <w:p>
            <w:pPr>
              <w:jc w:val="center"/>
            </w:pPr>
            <w:r>
              <w:rPr>
                <w:rFonts w:ascii="Times New Roman" w:hAnsi="Times New Roman"/>
                <w:b/>
                <w:sz w:val="15"/>
              </w:rPr>
              <w:t>Tautan resmi/utama</w:t>
            </w:r>
          </w:p>
        </w:tc>
      </w:tr>
      <w:tr>
        <w:trPr>
          <w:cantSplit/>
        </w:trPr>
        <w:tc>
          <w:tcPr>
            <w:tcW w:type="dxa" w:w="964"/>
            <w:vAlign w:val="top"/>
          </w:tcPr>
          <w:p>
            <w:r/>
            <w:r>
              <w:rPr>
                <w:rFonts w:ascii="Times New Roman" w:hAnsi="Times New Roman"/>
                <w:sz w:val="15"/>
              </w:rPr>
              <w:t>IX-01</w:t>
            </w:r>
          </w:p>
        </w:tc>
        <w:tc>
          <w:tcPr>
            <w:tcW w:type="dxa" w:w="2494"/>
            <w:vAlign w:val="top"/>
          </w:tcPr>
          <w:p>
            <w:r/>
            <w:r>
              <w:rPr>
                <w:rFonts w:ascii="Times New Roman" w:hAnsi="Times New Roman"/>
                <w:sz w:val="15"/>
              </w:rPr>
              <w:t>Pengadaan Barang/Jasa Pemerintah</w:t>
            </w:r>
          </w:p>
        </w:tc>
        <w:tc>
          <w:tcPr>
            <w:tcW w:type="dxa" w:w="3969"/>
            <w:vAlign w:val="top"/>
          </w:tcPr>
          <w:p>
            <w:r/>
            <w:r>
              <w:rPr>
                <w:rFonts w:ascii="Times New Roman" w:hAnsi="Times New Roman"/>
                <w:sz w:val="15"/>
              </w:rPr>
              <w:t>Perpres Nomor 46 Tahun 2025 jo. Perpres 16/2018</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2025</w:t>
            </w:r>
          </w:p>
        </w:tc>
        <w:tc>
          <w:tcPr>
            <w:tcW w:type="dxa" w:w="3402"/>
            <w:vAlign w:val="top"/>
          </w:tcPr>
          <w:p>
            <w:r/>
            <w:r>
              <w:rPr>
                <w:rFonts w:ascii="Times New Roman" w:hAnsi="Times New Roman"/>
                <w:sz w:val="15"/>
              </w:rPr>
              <w:t>Kerangka PBJ; proses sejak identifikasi kebutuhan sampai serah terima.</w:t>
            </w:r>
          </w:p>
        </w:tc>
        <w:tc>
          <w:tcPr>
            <w:tcW w:type="dxa" w:w="1531"/>
            <w:vAlign w:val="top"/>
          </w:tcPr>
          <w:p>
            <w:r/>
            <w:r>
              <w:rPr>
                <w:rFonts w:ascii="Times New Roman" w:hAnsi="Times New Roman"/>
                <w:sz w:val="15"/>
              </w:rPr>
              <w:t>Eksplisit/utama</w:t>
            </w:r>
          </w:p>
        </w:tc>
        <w:tc>
          <w:tcPr>
            <w:tcW w:type="dxa" w:w="3969"/>
            <w:vAlign w:val="top"/>
          </w:tcPr>
          <w:p>
            <w:r/>
            <w:hyperlink r:id="rId46">
              <w:r>
                <w:rPr>
                  <w:color w:val="0563C1"/>
                  <w:u w:val="single"/>
                </w:rPr>
                <w:t>https://jdih.lkpp.go.id/regulation/peraturan-presiden/peraturan-presiden-nomor-46-tahun-2025</w:t>
              </w:r>
            </w:hyperlink>
          </w:p>
        </w:tc>
      </w:tr>
      <w:tr>
        <w:trPr>
          <w:cantSplit/>
        </w:trPr>
        <w:tc>
          <w:tcPr>
            <w:tcW w:type="dxa" w:w="964"/>
            <w:vAlign w:val="top"/>
          </w:tcPr>
          <w:p>
            <w:r/>
            <w:r>
              <w:rPr>
                <w:rFonts w:ascii="Times New Roman" w:hAnsi="Times New Roman"/>
                <w:sz w:val="15"/>
              </w:rPr>
              <w:t>IX-02</w:t>
            </w:r>
          </w:p>
        </w:tc>
        <w:tc>
          <w:tcPr>
            <w:tcW w:type="dxa" w:w="2494"/>
            <w:vAlign w:val="top"/>
          </w:tcPr>
          <w:p>
            <w:r/>
            <w:r>
              <w:rPr>
                <w:rFonts w:ascii="Times New Roman" w:hAnsi="Times New Roman"/>
                <w:sz w:val="15"/>
              </w:rPr>
              <w:t>Katalog Elektronik</w:t>
            </w:r>
          </w:p>
        </w:tc>
        <w:tc>
          <w:tcPr>
            <w:tcW w:type="dxa" w:w="3969"/>
            <w:vAlign w:val="top"/>
          </w:tcPr>
          <w:p>
            <w:r/>
            <w:r>
              <w:rPr>
                <w:rFonts w:ascii="Times New Roman" w:hAnsi="Times New Roman"/>
                <w:sz w:val="15"/>
              </w:rPr>
              <w:t>Peraturan LKPP Nomor 2 Tahun 2026</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2026</w:t>
            </w:r>
          </w:p>
        </w:tc>
        <w:tc>
          <w:tcPr>
            <w:tcW w:type="dxa" w:w="3402"/>
            <w:vAlign w:val="top"/>
          </w:tcPr>
          <w:p>
            <w:r/>
            <w:r>
              <w:rPr>
                <w:rFonts w:ascii="Times New Roman" w:hAnsi="Times New Roman"/>
                <w:sz w:val="15"/>
              </w:rPr>
              <w:t>Katalog Elektronik/e-purchasing; mencabut Peraturan LKPP 9/2021.</w:t>
            </w:r>
          </w:p>
        </w:tc>
        <w:tc>
          <w:tcPr>
            <w:tcW w:type="dxa" w:w="1531"/>
            <w:vAlign w:val="top"/>
          </w:tcPr>
          <w:p>
            <w:r/>
            <w:r>
              <w:rPr>
                <w:rFonts w:ascii="Times New Roman" w:hAnsi="Times New Roman"/>
                <w:sz w:val="15"/>
              </w:rPr>
              <w:t>Eksplisit/utama</w:t>
            </w:r>
          </w:p>
        </w:tc>
        <w:tc>
          <w:tcPr>
            <w:tcW w:type="dxa" w:w="3969"/>
            <w:vAlign w:val="top"/>
          </w:tcPr>
          <w:p>
            <w:r/>
            <w:hyperlink r:id="rId47">
              <w:r>
                <w:rPr>
                  <w:color w:val="0563C1"/>
                  <w:u w:val="single"/>
                </w:rPr>
                <w:t>https://jdih.lkpp.go.id/regulation/peraturan-lkpp/peraturan-lkpp-nomor-2-tahun-2026</w:t>
              </w:r>
            </w:hyperlink>
          </w:p>
        </w:tc>
      </w:tr>
      <w:tr>
        <w:trPr>
          <w:cantSplit/>
        </w:trPr>
        <w:tc>
          <w:tcPr>
            <w:tcW w:type="dxa" w:w="964"/>
            <w:vAlign w:val="top"/>
          </w:tcPr>
          <w:p>
            <w:r/>
            <w:r>
              <w:rPr>
                <w:rFonts w:ascii="Times New Roman" w:hAnsi="Times New Roman"/>
                <w:sz w:val="15"/>
              </w:rPr>
              <w:t>IX-03</w:t>
            </w:r>
          </w:p>
        </w:tc>
        <w:tc>
          <w:tcPr>
            <w:tcW w:type="dxa" w:w="2494"/>
            <w:vAlign w:val="top"/>
          </w:tcPr>
          <w:p>
            <w:r/>
            <w:r>
              <w:rPr>
                <w:rFonts w:ascii="Times New Roman" w:hAnsi="Times New Roman"/>
                <w:sz w:val="15"/>
              </w:rPr>
              <w:t>Risiko e-procurement</w:t>
            </w:r>
          </w:p>
        </w:tc>
        <w:tc>
          <w:tcPr>
            <w:tcW w:type="dxa" w:w="3969"/>
            <w:vAlign w:val="top"/>
          </w:tcPr>
          <w:p>
            <w:r/>
            <w:r>
              <w:rPr>
                <w:rFonts w:ascii="Times New Roman" w:hAnsi="Times New Roman"/>
                <w:sz w:val="15"/>
              </w:rPr>
              <w:t>KPK - Laporan Kajian Tata Kelola e-Procurement Dalam Pengadaan Barang &amp; Jasa Tahun 2025</w:t>
            </w:r>
          </w:p>
        </w:tc>
        <w:tc>
          <w:tcPr>
            <w:tcW w:type="dxa" w:w="1814"/>
            <w:vAlign w:val="top"/>
          </w:tcPr>
          <w:p>
            <w:r/>
            <w:r>
              <w:rPr>
                <w:rFonts w:ascii="Times New Roman" w:hAnsi="Times New Roman"/>
                <w:sz w:val="15"/>
              </w:rPr>
              <w:t>DATA/Kajian PRIMER</w:t>
            </w:r>
          </w:p>
        </w:tc>
        <w:tc>
          <w:tcPr>
            <w:tcW w:type="dxa" w:w="1247"/>
            <w:vAlign w:val="top"/>
          </w:tcPr>
          <w:p>
            <w:r/>
            <w:r>
              <w:rPr>
                <w:rFonts w:ascii="Times New Roman" w:hAnsi="Times New Roman"/>
                <w:sz w:val="15"/>
              </w:rPr>
              <w:t>2025</w:t>
            </w:r>
          </w:p>
        </w:tc>
        <w:tc>
          <w:tcPr>
            <w:tcW w:type="dxa" w:w="3402"/>
            <w:vAlign w:val="top"/>
          </w:tcPr>
          <w:p>
            <w:r/>
            <w:r>
              <w:rPr>
                <w:rFonts w:ascii="Times New Roman" w:hAnsi="Times New Roman"/>
                <w:sz w:val="15"/>
              </w:rPr>
              <w:t>Basis pembacaan risiko governance e-procurement dan perlunya challenge/assurance.</w:t>
            </w:r>
          </w:p>
        </w:tc>
        <w:tc>
          <w:tcPr>
            <w:tcW w:type="dxa" w:w="1531"/>
            <w:vAlign w:val="top"/>
          </w:tcPr>
          <w:p>
            <w:r/>
            <w:r>
              <w:rPr>
                <w:rFonts w:ascii="Times New Roman" w:hAnsi="Times New Roman"/>
                <w:sz w:val="15"/>
              </w:rPr>
              <w:t>Eksplisit/utama</w:t>
            </w:r>
          </w:p>
        </w:tc>
        <w:tc>
          <w:tcPr>
            <w:tcW w:type="dxa" w:w="3969"/>
            <w:vAlign w:val="top"/>
          </w:tcPr>
          <w:p>
            <w:r/>
            <w:hyperlink r:id="rId48">
              <w:r>
                <w:rPr>
                  <w:color w:val="0563C1"/>
                  <w:u w:val="single"/>
                </w:rPr>
                <w:t>https://cms.kpk.go.id/storage/9967/LAPORAN-KAJIAN-TATA-KELOLA-E-PROCUREMENT-DALAM-PENGADAAN-BARANG-DAN-JASA-TAHUN-2025.pdf</w:t>
              </w:r>
            </w:hyperlink>
          </w:p>
        </w:tc>
      </w:tr>
      <w:tr>
        <w:trPr>
          <w:cantSplit/>
        </w:trPr>
        <w:tc>
          <w:tcPr>
            <w:tcW w:type="dxa" w:w="964"/>
            <w:vAlign w:val="top"/>
          </w:tcPr>
          <w:p>
            <w:r/>
            <w:r>
              <w:rPr>
                <w:rFonts w:ascii="Times New Roman" w:hAnsi="Times New Roman"/>
                <w:sz w:val="15"/>
              </w:rPr>
              <w:t>IX-04</w:t>
            </w:r>
          </w:p>
        </w:tc>
        <w:tc>
          <w:tcPr>
            <w:tcW w:type="dxa" w:w="2494"/>
            <w:vAlign w:val="top"/>
          </w:tcPr>
          <w:p>
            <w:r/>
            <w:r>
              <w:rPr>
                <w:rFonts w:ascii="Times New Roman" w:hAnsi="Times New Roman"/>
                <w:sz w:val="15"/>
              </w:rPr>
              <w:t>Konteks penindakan/pencegahan KPK</w:t>
            </w:r>
          </w:p>
        </w:tc>
        <w:tc>
          <w:tcPr>
            <w:tcW w:type="dxa" w:w="3969"/>
            <w:vAlign w:val="top"/>
          </w:tcPr>
          <w:p>
            <w:r/>
            <w:r>
              <w:rPr>
                <w:rFonts w:ascii="Times New Roman" w:hAnsi="Times New Roman"/>
                <w:sz w:val="15"/>
              </w:rPr>
              <w:t>KPK - Laporan Tahunan 2025</w:t>
            </w:r>
          </w:p>
        </w:tc>
        <w:tc>
          <w:tcPr>
            <w:tcW w:type="dxa" w:w="1814"/>
            <w:vAlign w:val="top"/>
          </w:tcPr>
          <w:p>
            <w:r/>
            <w:r>
              <w:rPr>
                <w:rFonts w:ascii="Times New Roman" w:hAnsi="Times New Roman"/>
                <w:sz w:val="15"/>
              </w:rPr>
              <w:t>DATA PUBLIK RESMI</w:t>
            </w:r>
          </w:p>
        </w:tc>
        <w:tc>
          <w:tcPr>
            <w:tcW w:type="dxa" w:w="1247"/>
            <w:vAlign w:val="top"/>
          </w:tcPr>
          <w:p>
            <w:r/>
            <w:r>
              <w:rPr>
                <w:rFonts w:ascii="Times New Roman" w:hAnsi="Times New Roman"/>
                <w:sz w:val="15"/>
              </w:rPr>
              <w:t>2025</w:t>
            </w:r>
          </w:p>
        </w:tc>
        <w:tc>
          <w:tcPr>
            <w:tcW w:type="dxa" w:w="3402"/>
            <w:vAlign w:val="top"/>
          </w:tcPr>
          <w:p>
            <w:r/>
            <w:r>
              <w:rPr>
                <w:rFonts w:ascii="Times New Roman" w:hAnsi="Times New Roman"/>
                <w:sz w:val="15"/>
              </w:rPr>
              <w:t>Konteks risiko dan pencegahan korupsi yang dirujuk.</w:t>
            </w:r>
          </w:p>
        </w:tc>
        <w:tc>
          <w:tcPr>
            <w:tcW w:type="dxa" w:w="1531"/>
            <w:vAlign w:val="top"/>
          </w:tcPr>
          <w:p>
            <w:r/>
            <w:r>
              <w:rPr>
                <w:rFonts w:ascii="Times New Roman" w:hAnsi="Times New Roman"/>
                <w:sz w:val="15"/>
              </w:rPr>
              <w:t>Eksplisit/pendukung</w:t>
            </w:r>
          </w:p>
        </w:tc>
        <w:tc>
          <w:tcPr>
            <w:tcW w:type="dxa" w:w="3969"/>
            <w:vAlign w:val="top"/>
          </w:tcPr>
          <w:p>
            <w:r/>
            <w:hyperlink r:id="rId49">
              <w:r>
                <w:rPr>
                  <w:color w:val="0563C1"/>
                  <w:u w:val="single"/>
                </w:rPr>
                <w:t>https://cms.kpk.go.id/storage/9535/Laporan-Tahunan-KPK-2025-Website.pdf</w:t>
              </w:r>
            </w:hyperlink>
          </w:p>
        </w:tc>
      </w:tr>
      <w:tr>
        <w:trPr>
          <w:cantSplit/>
        </w:trPr>
        <w:tc>
          <w:tcPr>
            <w:tcW w:type="dxa" w:w="964"/>
            <w:vAlign w:val="top"/>
          </w:tcPr>
          <w:p>
            <w:r/>
            <w:r>
              <w:rPr>
                <w:rFonts w:ascii="Times New Roman" w:hAnsi="Times New Roman"/>
                <w:sz w:val="15"/>
              </w:rPr>
              <w:t>IX-05</w:t>
            </w:r>
          </w:p>
        </w:tc>
        <w:tc>
          <w:tcPr>
            <w:tcW w:type="dxa" w:w="2494"/>
            <w:vAlign w:val="top"/>
          </w:tcPr>
          <w:p>
            <w:r/>
            <w:r>
              <w:rPr>
                <w:rFonts w:ascii="Times New Roman" w:hAnsi="Times New Roman"/>
                <w:sz w:val="15"/>
              </w:rPr>
              <w:t>Corruption Risk Assessment</w:t>
            </w:r>
          </w:p>
        </w:tc>
        <w:tc>
          <w:tcPr>
            <w:tcW w:type="dxa" w:w="3969"/>
            <w:vAlign w:val="top"/>
          </w:tcPr>
          <w:p>
            <w:r/>
            <w:r>
              <w:rPr>
                <w:rFonts w:ascii="Times New Roman" w:hAnsi="Times New Roman"/>
                <w:sz w:val="15"/>
              </w:rPr>
              <w:t>KPK - Panduan Asesmen Risiko Korupsi Regulasi (CRA)</w:t>
            </w:r>
          </w:p>
        </w:tc>
        <w:tc>
          <w:tcPr>
            <w:tcW w:type="dxa" w:w="1814"/>
            <w:vAlign w:val="top"/>
          </w:tcPr>
          <w:p>
            <w:r/>
            <w:r>
              <w:rPr>
                <w:rFonts w:ascii="Times New Roman" w:hAnsi="Times New Roman"/>
                <w:sz w:val="15"/>
              </w:rPr>
              <w:t>PEDOMAN PRIMER</w:t>
            </w:r>
          </w:p>
        </w:tc>
        <w:tc>
          <w:tcPr>
            <w:tcW w:type="dxa" w:w="1247"/>
            <w:vAlign w:val="top"/>
          </w:tcPr>
          <w:p>
            <w:r/>
            <w:r>
              <w:rPr>
                <w:rFonts w:ascii="Times New Roman" w:hAnsi="Times New Roman"/>
                <w:sz w:val="15"/>
              </w:rPr>
              <w:t>2025</w:t>
            </w:r>
          </w:p>
        </w:tc>
        <w:tc>
          <w:tcPr>
            <w:tcW w:type="dxa" w:w="3402"/>
            <w:vAlign w:val="top"/>
          </w:tcPr>
          <w:p>
            <w:r/>
            <w:r>
              <w:rPr>
                <w:rFonts w:ascii="Times New Roman" w:hAnsi="Times New Roman"/>
                <w:sz w:val="15"/>
              </w:rPr>
              <w:t>Pembanding risk-based prevention pada regulasi.</w:t>
            </w:r>
          </w:p>
        </w:tc>
        <w:tc>
          <w:tcPr>
            <w:tcW w:type="dxa" w:w="1531"/>
            <w:vAlign w:val="top"/>
          </w:tcPr>
          <w:p>
            <w:r/>
            <w:r>
              <w:rPr>
                <w:rFonts w:ascii="Times New Roman" w:hAnsi="Times New Roman"/>
                <w:sz w:val="15"/>
              </w:rPr>
              <w:t>Pendukung</w:t>
            </w:r>
          </w:p>
        </w:tc>
        <w:tc>
          <w:tcPr>
            <w:tcW w:type="dxa" w:w="3969"/>
            <w:vAlign w:val="top"/>
          </w:tcPr>
          <w:p>
            <w:r/>
            <w:hyperlink r:id="rId50">
              <w:r>
                <w:rPr>
                  <w:color w:val="0563C1"/>
                  <w:u w:val="single"/>
                </w:rPr>
                <w:t>https://aclc.kpk.go.id/materi-pembelajaran/hukum/buku/panduan-asesmen</w:t>
              </w:r>
            </w:hyperlink>
          </w:p>
        </w:tc>
      </w:tr>
      <w:tr>
        <w:trPr>
          <w:cantSplit/>
        </w:trPr>
        <w:tc>
          <w:tcPr>
            <w:tcW w:type="dxa" w:w="964"/>
            <w:vAlign w:val="top"/>
          </w:tcPr>
          <w:p>
            <w:r/>
            <w:r>
              <w:rPr>
                <w:rFonts w:ascii="Times New Roman" w:hAnsi="Times New Roman"/>
                <w:sz w:val="15"/>
              </w:rPr>
              <w:t>IX-06</w:t>
            </w:r>
          </w:p>
        </w:tc>
        <w:tc>
          <w:tcPr>
            <w:tcW w:type="dxa" w:w="2494"/>
            <w:vAlign w:val="top"/>
          </w:tcPr>
          <w:p>
            <w:r/>
            <w:r>
              <w:rPr>
                <w:rFonts w:ascii="Times New Roman" w:hAnsi="Times New Roman"/>
                <w:sz w:val="15"/>
              </w:rPr>
              <w:t>Pemberian hak minerba</w:t>
            </w:r>
          </w:p>
        </w:tc>
        <w:tc>
          <w:tcPr>
            <w:tcW w:type="dxa" w:w="3969"/>
            <w:vAlign w:val="top"/>
          </w:tcPr>
          <w:p>
            <w:r/>
            <w:r>
              <w:rPr>
                <w:rFonts w:ascii="Times New Roman" w:hAnsi="Times New Roman"/>
                <w:sz w:val="15"/>
              </w:rPr>
              <w:t>PP Nomor 39 Tahun 2025</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2025</w:t>
            </w:r>
          </w:p>
        </w:tc>
        <w:tc>
          <w:tcPr>
            <w:tcW w:type="dxa" w:w="3402"/>
            <w:vAlign w:val="top"/>
          </w:tcPr>
          <w:p>
            <w:r/>
            <w:r>
              <w:rPr>
                <w:rFonts w:ascii="Times New Roman" w:hAnsi="Times New Roman"/>
                <w:sz w:val="15"/>
              </w:rPr>
              <w:t>Perubahan kedua PP 96/2021 tentang pelaksanaan kegiatan usaha minerba dan mekanisme prioritas tertentu.</w:t>
            </w:r>
          </w:p>
        </w:tc>
        <w:tc>
          <w:tcPr>
            <w:tcW w:type="dxa" w:w="1531"/>
            <w:vAlign w:val="top"/>
          </w:tcPr>
          <w:p>
            <w:r/>
            <w:r>
              <w:rPr>
                <w:rFonts w:ascii="Times New Roman" w:hAnsi="Times New Roman"/>
                <w:sz w:val="15"/>
              </w:rPr>
              <w:t>Eksplisit/utama</w:t>
            </w:r>
          </w:p>
        </w:tc>
        <w:tc>
          <w:tcPr>
            <w:tcW w:type="dxa" w:w="3969"/>
            <w:vAlign w:val="top"/>
          </w:tcPr>
          <w:p>
            <w:r/>
            <w:hyperlink r:id="rId51">
              <w:r>
                <w:rPr>
                  <w:color w:val="0563C1"/>
                  <w:u w:val="single"/>
                </w:rPr>
                <w:t>https://peraturan.bpk.go.id/Details/331105/pp-no-39-tahun-2025</w:t>
              </w:r>
            </w:hyperlink>
          </w:p>
        </w:tc>
      </w:tr>
      <w:tr>
        <w:trPr>
          <w:cantSplit/>
        </w:trPr>
        <w:tc>
          <w:tcPr>
            <w:tcW w:type="dxa" w:w="964"/>
            <w:vAlign w:val="top"/>
          </w:tcPr>
          <w:p>
            <w:r/>
            <w:r>
              <w:rPr>
                <w:rFonts w:ascii="Times New Roman" w:hAnsi="Times New Roman"/>
                <w:sz w:val="15"/>
              </w:rPr>
              <w:t>IX-07</w:t>
            </w:r>
          </w:p>
        </w:tc>
        <w:tc>
          <w:tcPr>
            <w:tcW w:type="dxa" w:w="2494"/>
            <w:vAlign w:val="top"/>
          </w:tcPr>
          <w:p>
            <w:r/>
            <w:r>
              <w:rPr>
                <w:rFonts w:ascii="Times New Roman" w:hAnsi="Times New Roman"/>
                <w:sz w:val="15"/>
              </w:rPr>
              <w:t>Beneficial ownership</w:t>
            </w:r>
          </w:p>
        </w:tc>
        <w:tc>
          <w:tcPr>
            <w:tcW w:type="dxa" w:w="3969"/>
            <w:vAlign w:val="top"/>
          </w:tcPr>
          <w:p>
            <w:r/>
            <w:r>
              <w:rPr>
                <w:rFonts w:ascii="Times New Roman" w:hAnsi="Times New Roman"/>
                <w:sz w:val="15"/>
              </w:rPr>
              <w:t>Perpres Nomor 13 Tahun 2018</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2018</w:t>
            </w:r>
          </w:p>
        </w:tc>
        <w:tc>
          <w:tcPr>
            <w:tcW w:type="dxa" w:w="3402"/>
            <w:vAlign w:val="top"/>
          </w:tcPr>
          <w:p>
            <w:r/>
            <w:r>
              <w:rPr>
                <w:rFonts w:ascii="Times New Roman" w:hAnsi="Times New Roman"/>
                <w:sz w:val="15"/>
              </w:rPr>
              <w:t>Basis prinsip mengenali pemilik manfaat korporasi.</w:t>
            </w:r>
          </w:p>
        </w:tc>
        <w:tc>
          <w:tcPr>
            <w:tcW w:type="dxa" w:w="1531"/>
            <w:vAlign w:val="top"/>
          </w:tcPr>
          <w:p>
            <w:r/>
            <w:r>
              <w:rPr>
                <w:rFonts w:ascii="Times New Roman" w:hAnsi="Times New Roman"/>
                <w:sz w:val="15"/>
              </w:rPr>
              <w:t>Eksplisit/utama</w:t>
            </w:r>
          </w:p>
        </w:tc>
        <w:tc>
          <w:tcPr>
            <w:tcW w:type="dxa" w:w="3969"/>
            <w:vAlign w:val="top"/>
          </w:tcPr>
          <w:p>
            <w:r/>
            <w:hyperlink r:id="rId52">
              <w:r>
                <w:rPr>
                  <w:color w:val="0563C1"/>
                  <w:u w:val="single"/>
                </w:rPr>
                <w:t>https://peraturan.bpk.go.id/Details/73583/perpres-no-13-tahun-2018</w:t>
              </w:r>
            </w:hyperlink>
          </w:p>
        </w:tc>
      </w:tr>
      <w:tr>
        <w:trPr>
          <w:cantSplit/>
        </w:trPr>
        <w:tc>
          <w:tcPr>
            <w:tcW w:type="dxa" w:w="964"/>
            <w:vAlign w:val="top"/>
          </w:tcPr>
          <w:p>
            <w:r/>
            <w:r>
              <w:rPr>
                <w:rFonts w:ascii="Times New Roman" w:hAnsi="Times New Roman"/>
                <w:sz w:val="15"/>
              </w:rPr>
              <w:t>IX-08</w:t>
            </w:r>
          </w:p>
        </w:tc>
        <w:tc>
          <w:tcPr>
            <w:tcW w:type="dxa" w:w="2494"/>
            <w:vAlign w:val="top"/>
          </w:tcPr>
          <w:p>
            <w:r/>
            <w:r>
              <w:rPr>
                <w:rFonts w:ascii="Times New Roman" w:hAnsi="Times New Roman"/>
                <w:sz w:val="15"/>
              </w:rPr>
              <w:t>FRA, SRV, PWAR, governance roles</w:t>
            </w:r>
          </w:p>
        </w:tc>
        <w:tc>
          <w:tcPr>
            <w:tcW w:type="dxa" w:w="3969"/>
            <w:vAlign w:val="top"/>
          </w:tcPr>
          <w:p>
            <w:r/>
            <w:r>
              <w:rPr>
                <w:rFonts w:ascii="Times New Roman" w:hAnsi="Times New Roman"/>
                <w:sz w:val="15"/>
              </w:rPr>
              <w:t>Kerangka penulis</w:t>
            </w:r>
          </w:p>
        </w:tc>
        <w:tc>
          <w:tcPr>
            <w:tcW w:type="dxa" w:w="1814"/>
            <w:vAlign w:val="top"/>
          </w:tcPr>
          <w:p>
            <w:r/>
            <w:r>
              <w:rPr>
                <w:rFonts w:ascii="Times New Roman" w:hAnsi="Times New Roman"/>
                <w:sz w:val="15"/>
              </w:rPr>
              <w:t>KERANGKA PENULIS</w:t>
            </w:r>
          </w:p>
        </w:tc>
        <w:tc>
          <w:tcPr>
            <w:tcW w:type="dxa" w:w="1247"/>
            <w:vAlign w:val="top"/>
          </w:tcPr>
          <w:p>
            <w:r/>
            <w:r>
              <w:rPr>
                <w:rFonts w:ascii="Times New Roman" w:hAnsi="Times New Roman"/>
                <w:sz w:val="15"/>
              </w:rPr>
              <w:t>2026</w:t>
            </w:r>
          </w:p>
        </w:tc>
        <w:tc>
          <w:tcPr>
            <w:tcW w:type="dxa" w:w="3402"/>
            <w:vAlign w:val="top"/>
          </w:tcPr>
          <w:p>
            <w:r/>
            <w:r>
              <w:rPr>
                <w:rFonts w:ascii="Times New Roman" w:hAnsi="Times New Roman"/>
                <w:sz w:val="15"/>
              </w:rPr>
              <w:t>Alat analitis untuk prioritization, reservation value, public wealth at risk dan governance challenge; bukan definisi hukum kerugian negara.</w:t>
            </w:r>
          </w:p>
        </w:tc>
        <w:tc>
          <w:tcPr>
            <w:tcW w:type="dxa" w:w="1531"/>
            <w:vAlign w:val="top"/>
          </w:tcPr>
          <w:p>
            <w:r/>
            <w:r>
              <w:rPr>
                <w:rFonts w:ascii="Times New Roman" w:hAnsi="Times New Roman"/>
                <w:sz w:val="15"/>
              </w:rPr>
              <w:t>Author framework</w:t>
            </w:r>
          </w:p>
        </w:tc>
        <w:tc>
          <w:tcPr>
            <w:tcW w:type="dxa" w:w="3969"/>
            <w:vAlign w:val="top"/>
          </w:tcPr>
          <w:p>
            <w:r/>
            <w:r>
              <w:rPr>
                <w:rFonts w:ascii="Times New Roman" w:hAnsi="Times New Roman"/>
                <w:sz w:val="15"/>
              </w:rPr>
              <w:t>—</w:t>
            </w:r>
          </w:p>
        </w:tc>
      </w:tr>
    </w:tbl>
    <w:p/>
    <w:p>
      <w:pPr>
        <w:pStyle w:val="Heading1"/>
      </w:pPr>
      <w:r>
        <w:t>BAB X - Keluar dari Lingkaran Setan Korupsi</w:t>
      </w:r>
    </w:p>
    <w:tbl>
      <w:tblPr>
        <w:tblStyle w:val="TableGrid"/>
        <w:tblW w:type="auto" w:w="0"/>
        <w:jc w:val="center"/>
        <w:tblLook w:firstColumn="1" w:firstRow="1" w:lastColumn="0" w:lastRow="0" w:noHBand="0" w:noVBand="1" w:val="04A0"/>
      </w:tblPr>
      <w:tblGrid>
        <w:gridCol w:w="1935"/>
        <w:gridCol w:w="1935"/>
        <w:gridCol w:w="1935"/>
        <w:gridCol w:w="1935"/>
        <w:gridCol w:w="1935"/>
        <w:gridCol w:w="1935"/>
        <w:gridCol w:w="1935"/>
        <w:gridCol w:w="1935"/>
      </w:tblGrid>
      <w:tr>
        <w:tc>
          <w:tcPr>
            <w:tcW w:type="dxa" w:w="964"/>
            <w:shd w:fill="D9EAF7"/>
            <w:vAlign w:val="center"/>
          </w:tcPr>
          <w:p>
            <w:pPr>
              <w:jc w:val="center"/>
            </w:pPr>
            <w:r>
              <w:rPr>
                <w:rFonts w:ascii="Times New Roman" w:hAnsi="Times New Roman"/>
                <w:b/>
                <w:sz w:val="15"/>
              </w:rPr>
              <w:t>Kode</w:t>
            </w:r>
          </w:p>
        </w:tc>
        <w:tc>
          <w:tcPr>
            <w:tcW w:type="dxa" w:w="2494"/>
            <w:shd w:fill="D9EAF7"/>
            <w:vAlign w:val="center"/>
          </w:tcPr>
          <w:p>
            <w:pPr>
              <w:jc w:val="center"/>
            </w:pPr>
            <w:r>
              <w:rPr>
                <w:rFonts w:ascii="Times New Roman" w:hAnsi="Times New Roman"/>
                <w:b/>
                <w:sz w:val="15"/>
              </w:rPr>
              <w:t>Topik/Klaim</w:t>
            </w:r>
          </w:p>
        </w:tc>
        <w:tc>
          <w:tcPr>
            <w:tcW w:type="dxa" w:w="3969"/>
            <w:shd w:fill="D9EAF7"/>
            <w:vAlign w:val="center"/>
          </w:tcPr>
          <w:p>
            <w:pPr>
              <w:jc w:val="center"/>
            </w:pPr>
            <w:r>
              <w:rPr>
                <w:rFonts w:ascii="Times New Roman" w:hAnsi="Times New Roman"/>
                <w:b/>
                <w:sz w:val="15"/>
              </w:rPr>
              <w:t>Sumber primer/dokumen</w:t>
            </w:r>
          </w:p>
        </w:tc>
        <w:tc>
          <w:tcPr>
            <w:tcW w:type="dxa" w:w="1814"/>
            <w:shd w:fill="D9EAF7"/>
            <w:vAlign w:val="center"/>
          </w:tcPr>
          <w:p>
            <w:pPr>
              <w:jc w:val="center"/>
            </w:pPr>
            <w:r>
              <w:rPr>
                <w:rFonts w:ascii="Times New Roman" w:hAnsi="Times New Roman"/>
                <w:b/>
                <w:sz w:val="15"/>
              </w:rPr>
              <w:t>Jenis</w:t>
            </w:r>
          </w:p>
        </w:tc>
        <w:tc>
          <w:tcPr>
            <w:tcW w:type="dxa" w:w="1247"/>
            <w:shd w:fill="D9EAF7"/>
            <w:vAlign w:val="center"/>
          </w:tcPr>
          <w:p>
            <w:pPr>
              <w:jc w:val="center"/>
            </w:pPr>
            <w:r>
              <w:rPr>
                <w:rFonts w:ascii="Times New Roman" w:hAnsi="Times New Roman"/>
                <w:b/>
                <w:sz w:val="15"/>
              </w:rPr>
              <w:t>Periode</w:t>
            </w:r>
          </w:p>
        </w:tc>
        <w:tc>
          <w:tcPr>
            <w:tcW w:type="dxa" w:w="3402"/>
            <w:shd w:fill="D9EAF7"/>
            <w:vAlign w:val="center"/>
          </w:tcPr>
          <w:p>
            <w:pPr>
              <w:jc w:val="center"/>
            </w:pPr>
            <w:r>
              <w:rPr>
                <w:rFonts w:ascii="Times New Roman" w:hAnsi="Times New Roman"/>
                <w:b/>
                <w:sz w:val="15"/>
              </w:rPr>
              <w:t>Fungsi dalam buku</w:t>
            </w:r>
          </w:p>
        </w:tc>
        <w:tc>
          <w:tcPr>
            <w:tcW w:type="dxa" w:w="1531"/>
            <w:shd w:fill="D9EAF7"/>
            <w:vAlign w:val="center"/>
          </w:tcPr>
          <w:p>
            <w:pPr>
              <w:jc w:val="center"/>
            </w:pPr>
            <w:r>
              <w:rPr>
                <w:rFonts w:ascii="Times New Roman" w:hAnsi="Times New Roman"/>
                <w:b/>
                <w:sz w:val="15"/>
              </w:rPr>
              <w:t>Status</w:t>
            </w:r>
          </w:p>
        </w:tc>
        <w:tc>
          <w:tcPr>
            <w:tcW w:type="dxa" w:w="3969"/>
            <w:shd w:fill="D9EAF7"/>
            <w:vAlign w:val="center"/>
          </w:tcPr>
          <w:p>
            <w:pPr>
              <w:jc w:val="center"/>
            </w:pPr>
            <w:r>
              <w:rPr>
                <w:rFonts w:ascii="Times New Roman" w:hAnsi="Times New Roman"/>
                <w:b/>
                <w:sz w:val="15"/>
              </w:rPr>
              <w:t>Tautan resmi/utama</w:t>
            </w:r>
          </w:p>
        </w:tc>
      </w:tr>
      <w:tr>
        <w:trPr>
          <w:cantSplit/>
        </w:trPr>
        <w:tc>
          <w:tcPr>
            <w:tcW w:type="dxa" w:w="964"/>
            <w:vAlign w:val="top"/>
          </w:tcPr>
          <w:p>
            <w:r/>
            <w:r>
              <w:rPr>
                <w:rFonts w:ascii="Times New Roman" w:hAnsi="Times New Roman"/>
                <w:sz w:val="15"/>
              </w:rPr>
              <w:t>X-01</w:t>
            </w:r>
          </w:p>
        </w:tc>
        <w:tc>
          <w:tcPr>
            <w:tcW w:type="dxa" w:w="2494"/>
            <w:vAlign w:val="top"/>
          </w:tcPr>
          <w:p>
            <w:r/>
            <w:r>
              <w:rPr>
                <w:rFonts w:ascii="Times New Roman" w:hAnsi="Times New Roman"/>
                <w:sz w:val="15"/>
              </w:rPr>
              <w:t>KUHP Nasional</w:t>
            </w:r>
          </w:p>
        </w:tc>
        <w:tc>
          <w:tcPr>
            <w:tcW w:type="dxa" w:w="3969"/>
            <w:vAlign w:val="top"/>
          </w:tcPr>
          <w:p>
            <w:r/>
            <w:r>
              <w:rPr>
                <w:rFonts w:ascii="Times New Roman" w:hAnsi="Times New Roman"/>
                <w:sz w:val="15"/>
              </w:rPr>
              <w:t>UU Nomor 1 Tahun 2023 tentang KUHP</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2023/berlaku 2026</w:t>
            </w:r>
          </w:p>
        </w:tc>
        <w:tc>
          <w:tcPr>
            <w:tcW w:type="dxa" w:w="3402"/>
            <w:vAlign w:val="top"/>
          </w:tcPr>
          <w:p>
            <w:r/>
            <w:r>
              <w:rPr>
                <w:rFonts w:ascii="Times New Roman" w:hAnsi="Times New Roman"/>
                <w:sz w:val="15"/>
              </w:rPr>
              <w:t>KUHP berlaku 2 Januari 2026; rujukan tindak pidana dibaca bersama penyesuaian 2026.</w:t>
            </w:r>
          </w:p>
        </w:tc>
        <w:tc>
          <w:tcPr>
            <w:tcW w:type="dxa" w:w="1531"/>
            <w:vAlign w:val="top"/>
          </w:tcPr>
          <w:p>
            <w:r/>
            <w:r>
              <w:rPr>
                <w:rFonts w:ascii="Times New Roman" w:hAnsi="Times New Roman"/>
                <w:sz w:val="15"/>
              </w:rPr>
              <w:t>Eksplisit/utama</w:t>
            </w:r>
          </w:p>
        </w:tc>
        <w:tc>
          <w:tcPr>
            <w:tcW w:type="dxa" w:w="3969"/>
            <w:vAlign w:val="top"/>
          </w:tcPr>
          <w:p>
            <w:r/>
            <w:hyperlink r:id="rId53">
              <w:r>
                <w:rPr>
                  <w:color w:val="0563C1"/>
                  <w:u w:val="single"/>
                </w:rPr>
                <w:t>https://peraturan.bpk.go.id/Details/234935/uu-no-1-tahun-2023</w:t>
              </w:r>
            </w:hyperlink>
          </w:p>
        </w:tc>
      </w:tr>
      <w:tr>
        <w:trPr>
          <w:cantSplit/>
        </w:trPr>
        <w:tc>
          <w:tcPr>
            <w:tcW w:type="dxa" w:w="964"/>
            <w:vAlign w:val="top"/>
          </w:tcPr>
          <w:p>
            <w:r/>
            <w:r>
              <w:rPr>
                <w:rFonts w:ascii="Times New Roman" w:hAnsi="Times New Roman"/>
                <w:sz w:val="15"/>
              </w:rPr>
              <w:t>X-02</w:t>
            </w:r>
          </w:p>
        </w:tc>
        <w:tc>
          <w:tcPr>
            <w:tcW w:type="dxa" w:w="2494"/>
            <w:vAlign w:val="top"/>
          </w:tcPr>
          <w:p>
            <w:r/>
            <w:r>
              <w:rPr>
                <w:rFonts w:ascii="Times New Roman" w:hAnsi="Times New Roman"/>
                <w:sz w:val="15"/>
              </w:rPr>
              <w:t>Penyesuaian pidana</w:t>
            </w:r>
          </w:p>
        </w:tc>
        <w:tc>
          <w:tcPr>
            <w:tcW w:type="dxa" w:w="3969"/>
            <w:vAlign w:val="top"/>
          </w:tcPr>
          <w:p>
            <w:r/>
            <w:r>
              <w:rPr>
                <w:rFonts w:ascii="Times New Roman" w:hAnsi="Times New Roman"/>
                <w:sz w:val="15"/>
              </w:rPr>
              <w:t>UU Nomor 1 Tahun 2026 tentang Penyesuaian Pidana</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2026</w:t>
            </w:r>
          </w:p>
        </w:tc>
        <w:tc>
          <w:tcPr>
            <w:tcW w:type="dxa" w:w="3402"/>
            <w:vAlign w:val="top"/>
          </w:tcPr>
          <w:p>
            <w:r/>
            <w:r>
              <w:rPr>
                <w:rFonts w:ascii="Times New Roman" w:hAnsi="Times New Roman"/>
                <w:sz w:val="15"/>
              </w:rPr>
              <w:t>Penyesuaian ketentuan pidana sehubungan berlakunya KUHP Nasional.</w:t>
            </w:r>
          </w:p>
        </w:tc>
        <w:tc>
          <w:tcPr>
            <w:tcW w:type="dxa" w:w="1531"/>
            <w:vAlign w:val="top"/>
          </w:tcPr>
          <w:p>
            <w:r/>
            <w:r>
              <w:rPr>
                <w:rFonts w:ascii="Times New Roman" w:hAnsi="Times New Roman"/>
                <w:sz w:val="15"/>
              </w:rPr>
              <w:t>Eksplisit/utama</w:t>
            </w:r>
          </w:p>
        </w:tc>
        <w:tc>
          <w:tcPr>
            <w:tcW w:type="dxa" w:w="3969"/>
            <w:vAlign w:val="top"/>
          </w:tcPr>
          <w:p>
            <w:r/>
            <w:hyperlink r:id="rId54">
              <w:r>
                <w:rPr>
                  <w:color w:val="0563C1"/>
                  <w:u w:val="single"/>
                </w:rPr>
                <w:t>https://peraturan.bpk.go.id/Details/337869/uu-no-1-tahun-2026</w:t>
              </w:r>
            </w:hyperlink>
          </w:p>
        </w:tc>
      </w:tr>
      <w:tr>
        <w:trPr>
          <w:cantSplit/>
        </w:trPr>
        <w:tc>
          <w:tcPr>
            <w:tcW w:type="dxa" w:w="964"/>
            <w:vAlign w:val="top"/>
          </w:tcPr>
          <w:p>
            <w:r/>
            <w:r>
              <w:rPr>
                <w:rFonts w:ascii="Times New Roman" w:hAnsi="Times New Roman"/>
                <w:sz w:val="15"/>
              </w:rPr>
              <w:t>X-03</w:t>
            </w:r>
          </w:p>
        </w:tc>
        <w:tc>
          <w:tcPr>
            <w:tcW w:type="dxa" w:w="2494"/>
            <w:vAlign w:val="top"/>
          </w:tcPr>
          <w:p>
            <w:r/>
            <w:r>
              <w:rPr>
                <w:rFonts w:ascii="Times New Roman" w:hAnsi="Times New Roman"/>
                <w:sz w:val="15"/>
              </w:rPr>
              <w:t>Pemberantasan Tipikor</w:t>
            </w:r>
          </w:p>
        </w:tc>
        <w:tc>
          <w:tcPr>
            <w:tcW w:type="dxa" w:w="3969"/>
            <w:vAlign w:val="top"/>
          </w:tcPr>
          <w:p>
            <w:r/>
            <w:r>
              <w:rPr>
                <w:rFonts w:ascii="Times New Roman" w:hAnsi="Times New Roman"/>
                <w:sz w:val="15"/>
              </w:rPr>
              <w:t>UU Nomor 31 Tahun 1999 jo. UU Nomor 20 Tahun 2001</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1999/2001</w:t>
            </w:r>
          </w:p>
        </w:tc>
        <w:tc>
          <w:tcPr>
            <w:tcW w:type="dxa" w:w="3402"/>
            <w:vAlign w:val="top"/>
          </w:tcPr>
          <w:p>
            <w:r/>
            <w:r>
              <w:rPr>
                <w:rFonts w:ascii="Times New Roman" w:hAnsi="Times New Roman"/>
                <w:sz w:val="15"/>
              </w:rPr>
              <w:t>Kerangka Tipikor yang tetap relevan bersama perubahan/penyesuaian KUHP.</w:t>
            </w:r>
          </w:p>
        </w:tc>
        <w:tc>
          <w:tcPr>
            <w:tcW w:type="dxa" w:w="1531"/>
            <w:vAlign w:val="top"/>
          </w:tcPr>
          <w:p>
            <w:r/>
            <w:r>
              <w:rPr>
                <w:rFonts w:ascii="Times New Roman" w:hAnsi="Times New Roman"/>
                <w:sz w:val="15"/>
              </w:rPr>
              <w:t>Eksplisit/utama</w:t>
            </w:r>
          </w:p>
        </w:tc>
        <w:tc>
          <w:tcPr>
            <w:tcW w:type="dxa" w:w="3969"/>
            <w:vAlign w:val="top"/>
          </w:tcPr>
          <w:p>
            <w:r/>
            <w:hyperlink r:id="rId55">
              <w:r>
                <w:rPr>
                  <w:color w:val="0563C1"/>
                  <w:u w:val="single"/>
                </w:rPr>
                <w:t>https://peraturan.bpk.go.id/Details/45350/uu-no-31-tahun-1999</w:t>
              </w:r>
            </w:hyperlink>
          </w:p>
        </w:tc>
      </w:tr>
      <w:tr>
        <w:trPr>
          <w:cantSplit/>
        </w:trPr>
        <w:tc>
          <w:tcPr>
            <w:tcW w:type="dxa" w:w="964"/>
            <w:vAlign w:val="top"/>
          </w:tcPr>
          <w:p>
            <w:r/>
            <w:r>
              <w:rPr>
                <w:rFonts w:ascii="Times New Roman" w:hAnsi="Times New Roman"/>
                <w:sz w:val="15"/>
              </w:rPr>
              <w:t>X-04</w:t>
            </w:r>
          </w:p>
        </w:tc>
        <w:tc>
          <w:tcPr>
            <w:tcW w:type="dxa" w:w="2494"/>
            <w:vAlign w:val="top"/>
          </w:tcPr>
          <w:p>
            <w:r/>
            <w:r>
              <w:rPr>
                <w:rFonts w:ascii="Times New Roman" w:hAnsi="Times New Roman"/>
                <w:sz w:val="15"/>
              </w:rPr>
              <w:t>Pelindungan saksi dan korban</w:t>
            </w:r>
          </w:p>
        </w:tc>
        <w:tc>
          <w:tcPr>
            <w:tcW w:type="dxa" w:w="3969"/>
            <w:vAlign w:val="top"/>
          </w:tcPr>
          <w:p>
            <w:r/>
            <w:r>
              <w:rPr>
                <w:rFonts w:ascii="Times New Roman" w:hAnsi="Times New Roman"/>
                <w:sz w:val="15"/>
              </w:rPr>
              <w:t>UU Nomor 3 Tahun 2026 tentang Pelindungan Saksi dan Korban</w:t>
            </w:r>
          </w:p>
        </w:tc>
        <w:tc>
          <w:tcPr>
            <w:tcW w:type="dxa" w:w="1814"/>
            <w:vAlign w:val="top"/>
          </w:tcPr>
          <w:p>
            <w:r/>
            <w:r>
              <w:rPr>
                <w:rFonts w:ascii="Times New Roman" w:hAnsi="Times New Roman"/>
                <w:sz w:val="15"/>
              </w:rPr>
              <w:t>REGULASI PRIMER</w:t>
            </w:r>
          </w:p>
        </w:tc>
        <w:tc>
          <w:tcPr>
            <w:tcW w:type="dxa" w:w="1247"/>
            <w:vAlign w:val="top"/>
          </w:tcPr>
          <w:p>
            <w:r/>
            <w:r>
              <w:rPr>
                <w:rFonts w:ascii="Times New Roman" w:hAnsi="Times New Roman"/>
                <w:sz w:val="15"/>
              </w:rPr>
              <w:t>2026</w:t>
            </w:r>
          </w:p>
        </w:tc>
        <w:tc>
          <w:tcPr>
            <w:tcW w:type="dxa" w:w="3402"/>
            <w:vAlign w:val="top"/>
          </w:tcPr>
          <w:p>
            <w:r/>
            <w:r>
              <w:rPr>
                <w:rFonts w:ascii="Times New Roman" w:hAnsi="Times New Roman"/>
                <w:sz w:val="15"/>
              </w:rPr>
              <w:t>Basis rezim pelindungan saksi/korban yang disebut berlaku sejak 20 Mei 2026.</w:t>
            </w:r>
          </w:p>
        </w:tc>
        <w:tc>
          <w:tcPr>
            <w:tcW w:type="dxa" w:w="1531"/>
            <w:vAlign w:val="top"/>
          </w:tcPr>
          <w:p>
            <w:r/>
            <w:r>
              <w:rPr>
                <w:rFonts w:ascii="Times New Roman" w:hAnsi="Times New Roman"/>
                <w:sz w:val="15"/>
              </w:rPr>
              <w:t>Eksplisit/utama</w:t>
            </w:r>
          </w:p>
        </w:tc>
        <w:tc>
          <w:tcPr>
            <w:tcW w:type="dxa" w:w="3969"/>
            <w:vAlign w:val="top"/>
          </w:tcPr>
          <w:p>
            <w:r/>
            <w:hyperlink r:id="rId56">
              <w:r>
                <w:rPr>
                  <w:color w:val="0563C1"/>
                  <w:u w:val="single"/>
                </w:rPr>
                <w:t>https://peraturan.bpk.go.id/Details/349942/uu-no-3-tahun-2026</w:t>
              </w:r>
            </w:hyperlink>
          </w:p>
        </w:tc>
      </w:tr>
      <w:tr>
        <w:trPr>
          <w:cantSplit/>
        </w:trPr>
        <w:tc>
          <w:tcPr>
            <w:tcW w:type="dxa" w:w="964"/>
            <w:vAlign w:val="top"/>
          </w:tcPr>
          <w:p>
            <w:r/>
            <w:r>
              <w:rPr>
                <w:rFonts w:ascii="Times New Roman" w:hAnsi="Times New Roman"/>
                <w:sz w:val="15"/>
              </w:rPr>
              <w:t>X-05</w:t>
            </w:r>
          </w:p>
        </w:tc>
        <w:tc>
          <w:tcPr>
            <w:tcW w:type="dxa" w:w="2494"/>
            <w:vAlign w:val="top"/>
          </w:tcPr>
          <w:p>
            <w:r/>
            <w:r>
              <w:rPr>
                <w:rFonts w:ascii="Times New Roman" w:hAnsi="Times New Roman"/>
                <w:sz w:val="15"/>
              </w:rPr>
              <w:t>Public Value Loss / five traces / fair-play loop</w:t>
            </w:r>
          </w:p>
        </w:tc>
        <w:tc>
          <w:tcPr>
            <w:tcW w:type="dxa" w:w="3969"/>
            <w:vAlign w:val="top"/>
          </w:tcPr>
          <w:p>
            <w:r/>
            <w:r>
              <w:rPr>
                <w:rFonts w:ascii="Times New Roman" w:hAnsi="Times New Roman"/>
                <w:sz w:val="15"/>
              </w:rPr>
              <w:t>Kerangka penulis</w:t>
            </w:r>
          </w:p>
        </w:tc>
        <w:tc>
          <w:tcPr>
            <w:tcW w:type="dxa" w:w="1814"/>
            <w:vAlign w:val="top"/>
          </w:tcPr>
          <w:p>
            <w:r/>
            <w:r>
              <w:rPr>
                <w:rFonts w:ascii="Times New Roman" w:hAnsi="Times New Roman"/>
                <w:sz w:val="15"/>
              </w:rPr>
              <w:t>KERANGKA PENULIS</w:t>
            </w:r>
          </w:p>
        </w:tc>
        <w:tc>
          <w:tcPr>
            <w:tcW w:type="dxa" w:w="1247"/>
            <w:vAlign w:val="top"/>
          </w:tcPr>
          <w:p>
            <w:r/>
            <w:r>
              <w:rPr>
                <w:rFonts w:ascii="Times New Roman" w:hAnsi="Times New Roman"/>
                <w:sz w:val="15"/>
              </w:rPr>
              <w:t>2026</w:t>
            </w:r>
          </w:p>
        </w:tc>
        <w:tc>
          <w:tcPr>
            <w:tcW w:type="dxa" w:w="3402"/>
            <w:vAlign w:val="top"/>
          </w:tcPr>
          <w:p>
            <w:r/>
            <w:r>
              <w:rPr>
                <w:rFonts w:ascii="Times New Roman" w:hAnsi="Times New Roman"/>
                <w:sz w:val="15"/>
              </w:rPr>
              <w:t>Bukan definisi hukum kerugian negara dan bukan formula pidana/akuntansi; digunakan untuk diagnosis sistem dan redesign.</w:t>
            </w:r>
          </w:p>
        </w:tc>
        <w:tc>
          <w:tcPr>
            <w:tcW w:type="dxa" w:w="1531"/>
            <w:vAlign w:val="top"/>
          </w:tcPr>
          <w:p>
            <w:r/>
            <w:r>
              <w:rPr>
                <w:rFonts w:ascii="Times New Roman" w:hAnsi="Times New Roman"/>
                <w:sz w:val="15"/>
              </w:rPr>
              <w:t>Author framework</w:t>
            </w:r>
          </w:p>
        </w:tc>
        <w:tc>
          <w:tcPr>
            <w:tcW w:type="dxa" w:w="3969"/>
            <w:vAlign w:val="top"/>
          </w:tcPr>
          <w:p>
            <w:r/>
            <w:r>
              <w:rPr>
                <w:rFonts w:ascii="Times New Roman" w:hAnsi="Times New Roman"/>
                <w:sz w:val="15"/>
              </w:rPr>
              <w:t>—</w:t>
            </w:r>
          </w:p>
        </w:tc>
      </w:tr>
    </w:tbl>
    <w:p/>
    <w:p>
      <w:pPr>
        <w:pStyle w:val="Heading1"/>
      </w:pPr>
      <w:r>
        <w:t>Catatan Metodologis Khusus - Sisnerling dan Simulasi Bab IV</w:t>
      </w:r>
    </w:p>
    <w:tbl>
      <w:tblPr>
        <w:tblStyle w:val="TableGrid"/>
        <w:tblW w:type="auto" w:w="0"/>
        <w:tblLook w:firstColumn="1" w:firstRow="1" w:lastColumn="0" w:lastRow="0" w:noHBand="0" w:noVBand="1" w:val="04A0"/>
      </w:tblPr>
      <w:tblGrid>
        <w:gridCol w:w="15478"/>
      </w:tblGrid>
      <w:tr>
        <w:tc>
          <w:tcPr>
            <w:tcW w:type="dxa" w:w="15478"/>
            <w:shd w:fill="FFF2CC"/>
          </w:tcPr>
          <w:p>
            <w:r>
              <w:rPr>
                <w:rFonts w:ascii="Times New Roman" w:hAnsi="Times New Roman"/>
                <w:b/>
                <w:color w:val="1F4E79"/>
                <w:sz w:val="22"/>
              </w:rPr>
              <w:t>Pemisahan data resmi dan simulasi</w:t>
              <w:br/>
            </w:r>
            <w:r>
              <w:rPr>
                <w:rFonts w:ascii="Times New Roman" w:hAnsi="Times New Roman"/>
                <w:sz w:val="21"/>
              </w:rPr>
              <w:t>Data ekstraksi, stok, dan deplesi bersumber dari BPS, Sistem Terintegrasi Neraca Lingkungan dan Ekonomi Indonesia 2020-2024. Angka economic rent, normal return/risk premium, replacement-wealth benchmark, serta seluruh hasil simulasi turunannya merupakan ilustrasi analitis penulis. Angka tersebut bukan estimasi resmi BPS, bukan tarif pajak atau PNBP, bukan nilai kewajiban fiskal, dan bukan rekomendasi terhadap perusahaan atau pihak tertentu.</w:t>
            </w:r>
          </w:p>
        </w:tc>
      </w:tr>
    </w:tbl>
    <w:p/>
    <w:tbl>
      <w:tblPr>
        <w:tblStyle w:val="TableGrid"/>
        <w:tblW w:type="auto" w:w="0"/>
        <w:jc w:val="center"/>
        <w:tblLook w:firstColumn="1" w:firstRow="1" w:lastColumn="0" w:lastRow="0" w:noHBand="0" w:noVBand="1" w:val="04A0"/>
      </w:tblPr>
      <w:tblGrid>
        <w:gridCol w:w="5159"/>
        <w:gridCol w:w="5159"/>
        <w:gridCol w:w="5159"/>
      </w:tblGrid>
      <w:tr>
        <w:tc>
          <w:tcPr>
            <w:tcW w:type="dxa" w:w="3402"/>
            <w:shd w:fill="D9EAF7"/>
            <w:vAlign w:val="center"/>
          </w:tcPr>
          <w:p>
            <w:pPr>
              <w:jc w:val="center"/>
            </w:pPr>
            <w:r>
              <w:rPr>
                <w:rFonts w:ascii="Times New Roman" w:hAnsi="Times New Roman"/>
                <w:b/>
                <w:sz w:val="17"/>
              </w:rPr>
              <w:t>Komponen</w:t>
            </w:r>
          </w:p>
        </w:tc>
        <w:tc>
          <w:tcPr>
            <w:tcW w:type="dxa" w:w="2268"/>
            <w:shd w:fill="D9EAF7"/>
            <w:vAlign w:val="center"/>
          </w:tcPr>
          <w:p>
            <w:pPr>
              <w:jc w:val="center"/>
            </w:pPr>
            <w:r>
              <w:rPr>
                <w:rFonts w:ascii="Times New Roman" w:hAnsi="Times New Roman"/>
                <w:b/>
                <w:sz w:val="17"/>
              </w:rPr>
              <w:t>Status</w:t>
            </w:r>
          </w:p>
        </w:tc>
        <w:tc>
          <w:tcPr>
            <w:tcW w:type="dxa" w:w="9071"/>
            <w:shd w:fill="D9EAF7"/>
            <w:vAlign w:val="center"/>
          </w:tcPr>
          <w:p>
            <w:pPr>
              <w:jc w:val="center"/>
            </w:pPr>
            <w:r>
              <w:rPr>
                <w:rFonts w:ascii="Times New Roman" w:hAnsi="Times New Roman"/>
                <w:b/>
                <w:sz w:val="17"/>
              </w:rPr>
              <w:t>Aturan penggunaan</w:t>
            </w:r>
          </w:p>
        </w:tc>
      </w:tr>
      <w:tr>
        <w:trPr>
          <w:cantSplit/>
        </w:trPr>
        <w:tc>
          <w:tcPr>
            <w:tcW w:type="dxa" w:w="3402"/>
            <w:vAlign w:val="top"/>
          </w:tcPr>
          <w:p>
            <w:r/>
            <w:r>
              <w:rPr>
                <w:rFonts w:ascii="Times New Roman" w:hAnsi="Times New Roman"/>
                <w:sz w:val="17"/>
              </w:rPr>
              <w:t>Ekstraksi, stok, nilai moneter stok, deplesi</w:t>
            </w:r>
          </w:p>
        </w:tc>
        <w:tc>
          <w:tcPr>
            <w:tcW w:type="dxa" w:w="2268"/>
            <w:vAlign w:val="top"/>
          </w:tcPr>
          <w:p>
            <w:r/>
            <w:r>
              <w:rPr>
                <w:rFonts w:ascii="Times New Roman" w:hAnsi="Times New Roman"/>
                <w:sz w:val="17"/>
              </w:rPr>
              <w:t>DATA BPS</w:t>
            </w:r>
          </w:p>
        </w:tc>
        <w:tc>
          <w:tcPr>
            <w:tcW w:type="dxa" w:w="9071"/>
            <w:vAlign w:val="top"/>
          </w:tcPr>
          <w:p>
            <w:r/>
            <w:r>
              <w:rPr>
                <w:rFonts w:ascii="Times New Roman" w:hAnsi="Times New Roman"/>
                <w:sz w:val="17"/>
              </w:rPr>
              <w:t>Gunakan angka publik BPS dan catat status 2024 sangat sementara.</w:t>
            </w:r>
          </w:p>
        </w:tc>
      </w:tr>
      <w:tr>
        <w:trPr>
          <w:cantSplit/>
        </w:trPr>
        <w:tc>
          <w:tcPr>
            <w:tcW w:type="dxa" w:w="3402"/>
            <w:vAlign w:val="top"/>
          </w:tcPr>
          <w:p>
            <w:r/>
            <w:r>
              <w:rPr>
                <w:rFonts w:ascii="Times New Roman" w:hAnsi="Times New Roman"/>
                <w:sz w:val="17"/>
              </w:rPr>
              <w:t>Deplesi per ton</w:t>
            </w:r>
          </w:p>
        </w:tc>
        <w:tc>
          <w:tcPr>
            <w:tcW w:type="dxa" w:w="2268"/>
            <w:vAlign w:val="top"/>
          </w:tcPr>
          <w:p>
            <w:r/>
            <w:r>
              <w:rPr>
                <w:rFonts w:ascii="Times New Roman" w:hAnsi="Times New Roman"/>
                <w:sz w:val="17"/>
              </w:rPr>
              <w:t>DERIVED</w:t>
            </w:r>
          </w:p>
        </w:tc>
        <w:tc>
          <w:tcPr>
            <w:tcW w:type="dxa" w:w="9071"/>
            <w:vAlign w:val="top"/>
          </w:tcPr>
          <w:p>
            <w:r/>
            <w:r>
              <w:rPr>
                <w:rFonts w:ascii="Times New Roman" w:hAnsi="Times New Roman"/>
                <w:sz w:val="17"/>
              </w:rPr>
              <w:t>Hasil pembagian nilai deplesi dengan volume ekstraksi; tampilkan formula.</w:t>
            </w:r>
          </w:p>
        </w:tc>
      </w:tr>
      <w:tr>
        <w:trPr>
          <w:cantSplit/>
        </w:trPr>
        <w:tc>
          <w:tcPr>
            <w:tcW w:type="dxa" w:w="3402"/>
            <w:vAlign w:val="top"/>
          </w:tcPr>
          <w:p>
            <w:r/>
            <w:r>
              <w:rPr>
                <w:rFonts w:ascii="Times New Roman" w:hAnsi="Times New Roman"/>
                <w:sz w:val="17"/>
              </w:rPr>
              <w:t>Economic rent Rp550.000/ton</w:t>
            </w:r>
          </w:p>
        </w:tc>
        <w:tc>
          <w:tcPr>
            <w:tcW w:type="dxa" w:w="2268"/>
            <w:vAlign w:val="top"/>
          </w:tcPr>
          <w:p>
            <w:r/>
            <w:r>
              <w:rPr>
                <w:rFonts w:ascii="Times New Roman" w:hAnsi="Times New Roman"/>
                <w:sz w:val="17"/>
              </w:rPr>
              <w:t>ILUSTRATIF</w:t>
            </w:r>
          </w:p>
        </w:tc>
        <w:tc>
          <w:tcPr>
            <w:tcW w:type="dxa" w:w="9071"/>
            <w:vAlign w:val="top"/>
          </w:tcPr>
          <w:p>
            <w:r/>
            <w:r>
              <w:rPr>
                <w:rFonts w:ascii="Times New Roman" w:hAnsi="Times New Roman"/>
                <w:sz w:val="17"/>
              </w:rPr>
              <w:t>Asumsi pedagogis, bukan estimasi resmi.</w:t>
            </w:r>
          </w:p>
        </w:tc>
      </w:tr>
      <w:tr>
        <w:trPr>
          <w:cantSplit/>
        </w:trPr>
        <w:tc>
          <w:tcPr>
            <w:tcW w:type="dxa" w:w="3402"/>
            <w:vAlign w:val="top"/>
          </w:tcPr>
          <w:p>
            <w:r/>
            <w:r>
              <w:rPr>
                <w:rFonts w:ascii="Times New Roman" w:hAnsi="Times New Roman"/>
                <w:sz w:val="17"/>
              </w:rPr>
              <w:t>Normal return/risk premium Rp150.000/ton</w:t>
            </w:r>
          </w:p>
        </w:tc>
        <w:tc>
          <w:tcPr>
            <w:tcW w:type="dxa" w:w="2268"/>
            <w:vAlign w:val="top"/>
          </w:tcPr>
          <w:p>
            <w:r/>
            <w:r>
              <w:rPr>
                <w:rFonts w:ascii="Times New Roman" w:hAnsi="Times New Roman"/>
                <w:sz w:val="17"/>
              </w:rPr>
              <w:t>ILUSTRATIF</w:t>
            </w:r>
          </w:p>
        </w:tc>
        <w:tc>
          <w:tcPr>
            <w:tcW w:type="dxa" w:w="9071"/>
            <w:vAlign w:val="top"/>
          </w:tcPr>
          <w:p>
            <w:r/>
            <w:r>
              <w:rPr>
                <w:rFonts w:ascii="Times New Roman" w:hAnsi="Times New Roman"/>
                <w:sz w:val="17"/>
              </w:rPr>
              <w:t>Asumsi pedagogis, bukan benchmark industri resmi.</w:t>
            </w:r>
          </w:p>
        </w:tc>
      </w:tr>
      <w:tr>
        <w:trPr>
          <w:cantSplit/>
        </w:trPr>
        <w:tc>
          <w:tcPr>
            <w:tcW w:type="dxa" w:w="3402"/>
            <w:vAlign w:val="top"/>
          </w:tcPr>
          <w:p>
            <w:r/>
            <w:r>
              <w:rPr>
                <w:rFonts w:ascii="Times New Roman" w:hAnsi="Times New Roman"/>
                <w:sz w:val="17"/>
              </w:rPr>
              <w:t>66,7%</w:t>
            </w:r>
          </w:p>
        </w:tc>
        <w:tc>
          <w:tcPr>
            <w:tcW w:type="dxa" w:w="2268"/>
            <w:vAlign w:val="top"/>
          </w:tcPr>
          <w:p>
            <w:r/>
            <w:r>
              <w:rPr>
                <w:rFonts w:ascii="Times New Roman" w:hAnsi="Times New Roman"/>
                <w:sz w:val="17"/>
              </w:rPr>
              <w:t>DERIVED DARI SIMULASI</w:t>
            </w:r>
          </w:p>
        </w:tc>
        <w:tc>
          <w:tcPr>
            <w:tcW w:type="dxa" w:w="9071"/>
            <w:vAlign w:val="top"/>
          </w:tcPr>
          <w:p>
            <w:r/>
            <w:r>
              <w:rPr>
                <w:rFonts w:ascii="Times New Roman" w:hAnsi="Times New Roman"/>
                <w:sz w:val="17"/>
              </w:rPr>
              <w:t>Konsekuensi aritmetis benchmark deplesi / economic rent ilustratif; bukan tarif/state take.</w:t>
            </w:r>
          </w:p>
        </w:tc>
      </w:tr>
      <w:tr>
        <w:trPr>
          <w:cantSplit/>
        </w:trPr>
        <w:tc>
          <w:tcPr>
            <w:tcW w:type="dxa" w:w="3402"/>
            <w:vAlign w:val="top"/>
          </w:tcPr>
          <w:p>
            <w:r/>
            <w:r>
              <w:rPr>
                <w:rFonts w:ascii="Times New Roman" w:hAnsi="Times New Roman"/>
                <w:sz w:val="17"/>
              </w:rPr>
              <w:t>RRR</w:t>
            </w:r>
          </w:p>
        </w:tc>
        <w:tc>
          <w:tcPr>
            <w:tcW w:type="dxa" w:w="2268"/>
            <w:vAlign w:val="top"/>
          </w:tcPr>
          <w:p>
            <w:r/>
            <w:r>
              <w:rPr>
                <w:rFonts w:ascii="Times New Roman" w:hAnsi="Times New Roman"/>
                <w:sz w:val="17"/>
              </w:rPr>
              <w:t>KERANGKA PENULIS</w:t>
            </w:r>
          </w:p>
        </w:tc>
        <w:tc>
          <w:tcPr>
            <w:tcW w:type="dxa" w:w="9071"/>
            <w:vAlign w:val="top"/>
          </w:tcPr>
          <w:p>
            <w:r/>
            <w:r>
              <w:rPr>
                <w:rFonts w:ascii="Times New Roman" w:hAnsi="Times New Roman"/>
                <w:sz w:val="17"/>
              </w:rPr>
              <w:t>Diagnostic framework; metodologi attribution dan double counting harus dijelaskan.</w:t>
            </w:r>
          </w:p>
        </w:tc>
      </w:tr>
    </w:tbl>
    <w:p>
      <w:pPr>
        <w:pStyle w:val="Heading1"/>
      </w:pPr>
      <w:r>
        <w:t>MASTER REGULATORY MAP</w:t>
      </w:r>
    </w:p>
    <w:tbl>
      <w:tblPr>
        <w:tblStyle w:val="TableGrid"/>
        <w:tblW w:type="auto" w:w="0"/>
        <w:jc w:val="center"/>
        <w:tblLook w:firstColumn="1" w:firstRow="1" w:lastColumn="0" w:lastRow="0" w:noHBand="0" w:noVBand="1" w:val="04A0"/>
      </w:tblPr>
      <w:tblGrid>
        <w:gridCol w:w="2211"/>
        <w:gridCol w:w="2211"/>
        <w:gridCol w:w="2211"/>
        <w:gridCol w:w="2211"/>
        <w:gridCol w:w="2211"/>
        <w:gridCol w:w="2211"/>
        <w:gridCol w:w="2211"/>
      </w:tblGrid>
      <w:tr>
        <w:tc>
          <w:tcPr>
            <w:tcW w:type="dxa" w:w="964"/>
            <w:shd w:fill="D9EAF7"/>
            <w:vAlign w:val="center"/>
          </w:tcPr>
          <w:p>
            <w:pPr>
              <w:jc w:val="center"/>
            </w:pPr>
            <w:r>
              <w:rPr>
                <w:rFonts w:ascii="Times New Roman" w:hAnsi="Times New Roman"/>
                <w:b/>
                <w:sz w:val="15"/>
              </w:rPr>
              <w:t>Kode</w:t>
            </w:r>
          </w:p>
        </w:tc>
        <w:tc>
          <w:tcPr>
            <w:tcW w:type="dxa" w:w="1134"/>
            <w:shd w:fill="D9EAF7"/>
            <w:vAlign w:val="center"/>
          </w:tcPr>
          <w:p>
            <w:pPr>
              <w:jc w:val="center"/>
            </w:pPr>
            <w:r>
              <w:rPr>
                <w:rFonts w:ascii="Times New Roman" w:hAnsi="Times New Roman"/>
                <w:b/>
                <w:sz w:val="15"/>
              </w:rPr>
              <w:t>Bab</w:t>
            </w:r>
          </w:p>
        </w:tc>
        <w:tc>
          <w:tcPr>
            <w:tcW w:type="dxa" w:w="5102"/>
            <w:shd w:fill="D9EAF7"/>
            <w:vAlign w:val="center"/>
          </w:tcPr>
          <w:p>
            <w:pPr>
              <w:jc w:val="center"/>
            </w:pPr>
            <w:r>
              <w:rPr>
                <w:rFonts w:ascii="Times New Roman" w:hAnsi="Times New Roman"/>
                <w:b/>
                <w:sz w:val="15"/>
              </w:rPr>
              <w:t>Regulasi</w:t>
            </w:r>
          </w:p>
        </w:tc>
        <w:tc>
          <w:tcPr>
            <w:tcW w:type="dxa" w:w="4535"/>
            <w:shd w:fill="D9EAF7"/>
            <w:vAlign w:val="center"/>
          </w:tcPr>
          <w:p>
            <w:pPr>
              <w:jc w:val="center"/>
            </w:pPr>
            <w:r>
              <w:rPr>
                <w:rFonts w:ascii="Times New Roman" w:hAnsi="Times New Roman"/>
                <w:b/>
                <w:sz w:val="15"/>
              </w:rPr>
              <w:t>Konteks dalam buku</w:t>
            </w:r>
          </w:p>
        </w:tc>
        <w:tc>
          <w:tcPr>
            <w:tcW w:type="dxa" w:w="1417"/>
            <w:shd w:fill="D9EAF7"/>
            <w:vAlign w:val="center"/>
          </w:tcPr>
          <w:p>
            <w:pPr>
              <w:jc w:val="center"/>
            </w:pPr>
            <w:r>
              <w:rPr>
                <w:rFonts w:ascii="Times New Roman" w:hAnsi="Times New Roman"/>
                <w:b/>
                <w:sz w:val="15"/>
              </w:rPr>
              <w:t>Tahun/versi</w:t>
            </w:r>
          </w:p>
        </w:tc>
        <w:tc>
          <w:tcPr>
            <w:tcW w:type="dxa" w:w="1701"/>
            <w:shd w:fill="D9EAF7"/>
            <w:vAlign w:val="center"/>
          </w:tcPr>
          <w:p>
            <w:pPr>
              <w:jc w:val="center"/>
            </w:pPr>
            <w:r>
              <w:rPr>
                <w:rFonts w:ascii="Times New Roman" w:hAnsi="Times New Roman"/>
                <w:b/>
                <w:sz w:val="15"/>
              </w:rPr>
              <w:t>Posisi</w:t>
            </w:r>
          </w:p>
        </w:tc>
        <w:tc>
          <w:tcPr>
            <w:tcW w:type="dxa" w:w="4535"/>
            <w:shd w:fill="D9EAF7"/>
            <w:vAlign w:val="center"/>
          </w:tcPr>
          <w:p>
            <w:pPr>
              <w:jc w:val="center"/>
            </w:pPr>
            <w:r>
              <w:rPr>
                <w:rFonts w:ascii="Times New Roman" w:hAnsi="Times New Roman"/>
                <w:b/>
                <w:sz w:val="15"/>
              </w:rPr>
              <w:t>Tautan</w:t>
            </w:r>
          </w:p>
        </w:tc>
      </w:tr>
      <w:tr>
        <w:trPr>
          <w:cantSplit/>
        </w:trPr>
        <w:tc>
          <w:tcPr>
            <w:tcW w:type="dxa" w:w="964"/>
            <w:vAlign w:val="top"/>
          </w:tcPr>
          <w:p>
            <w:r/>
            <w:r>
              <w:rPr>
                <w:rFonts w:ascii="Times New Roman" w:hAnsi="Times New Roman"/>
                <w:sz w:val="15"/>
              </w:rPr>
              <w:t>I-04</w:t>
            </w:r>
          </w:p>
        </w:tc>
        <w:tc>
          <w:tcPr>
            <w:tcW w:type="dxa" w:w="1134"/>
            <w:vAlign w:val="top"/>
          </w:tcPr>
          <w:p>
            <w:r/>
            <w:r>
              <w:rPr>
                <w:rFonts w:ascii="Times New Roman" w:hAnsi="Times New Roman"/>
                <w:sz w:val="15"/>
              </w:rPr>
              <w:t>Bab I</w:t>
            </w:r>
          </w:p>
        </w:tc>
        <w:tc>
          <w:tcPr>
            <w:tcW w:type="dxa" w:w="5102"/>
            <w:vAlign w:val="top"/>
          </w:tcPr>
          <w:p>
            <w:r/>
            <w:r>
              <w:rPr>
                <w:rFonts w:ascii="Times New Roman" w:hAnsi="Times New Roman"/>
                <w:sz w:val="15"/>
              </w:rPr>
              <w:t>Perda Provinsi DKI Jakarta Nomor 9 Tahun 2024 tentang APBD TA 2025</w:t>
            </w:r>
          </w:p>
        </w:tc>
        <w:tc>
          <w:tcPr>
            <w:tcW w:type="dxa" w:w="4535"/>
            <w:vAlign w:val="top"/>
          </w:tcPr>
          <w:p>
            <w:r/>
            <w:r>
              <w:rPr>
                <w:rFonts w:ascii="Times New Roman" w:hAnsi="Times New Roman"/>
                <w:sz w:val="15"/>
              </w:rPr>
              <w:t>APBD DKI Jakarta 2025</w:t>
            </w:r>
          </w:p>
        </w:tc>
        <w:tc>
          <w:tcPr>
            <w:tcW w:type="dxa" w:w="1417"/>
            <w:vAlign w:val="top"/>
          </w:tcPr>
          <w:p>
            <w:r/>
            <w:r>
              <w:rPr>
                <w:rFonts w:ascii="Times New Roman" w:hAnsi="Times New Roman"/>
                <w:sz w:val="15"/>
              </w:rPr>
              <w:t>2024/2025</w:t>
            </w:r>
          </w:p>
        </w:tc>
        <w:tc>
          <w:tcPr>
            <w:tcW w:type="dxa" w:w="1701"/>
            <w:vAlign w:val="top"/>
          </w:tcPr>
          <w:p>
            <w:r/>
            <w:r>
              <w:rPr>
                <w:rFonts w:ascii="Times New Roman" w:hAnsi="Times New Roman"/>
                <w:sz w:val="15"/>
              </w:rPr>
              <w:t>Eksplisit/utama</w:t>
            </w:r>
          </w:p>
        </w:tc>
        <w:tc>
          <w:tcPr>
            <w:tcW w:type="dxa" w:w="4535"/>
            <w:vAlign w:val="top"/>
          </w:tcPr>
          <w:p>
            <w:r/>
            <w:hyperlink r:id="rId13">
              <w:r>
                <w:rPr>
                  <w:color w:val="0563C1"/>
                  <w:u w:val="single"/>
                </w:rPr>
                <w:t>https://jdih.jakarta.go.id/dokumen/detail/14203/peraturan-daerah-nomor-9-tahun-2024tentang-anggaran-pendapatan-dan-belanja-daerah-tahun-anggaran-2025</w:t>
              </w:r>
            </w:hyperlink>
          </w:p>
        </w:tc>
      </w:tr>
      <w:tr>
        <w:trPr>
          <w:cantSplit/>
        </w:trPr>
        <w:tc>
          <w:tcPr>
            <w:tcW w:type="dxa" w:w="964"/>
            <w:vAlign w:val="top"/>
          </w:tcPr>
          <w:p>
            <w:r/>
            <w:r>
              <w:rPr>
                <w:rFonts w:ascii="Times New Roman" w:hAnsi="Times New Roman"/>
                <w:sz w:val="15"/>
              </w:rPr>
              <w:t>I-06</w:t>
            </w:r>
          </w:p>
        </w:tc>
        <w:tc>
          <w:tcPr>
            <w:tcW w:type="dxa" w:w="1134"/>
            <w:vAlign w:val="top"/>
          </w:tcPr>
          <w:p>
            <w:r/>
            <w:r>
              <w:rPr>
                <w:rFonts w:ascii="Times New Roman" w:hAnsi="Times New Roman"/>
                <w:sz w:val="15"/>
              </w:rPr>
              <w:t>Bab I</w:t>
            </w:r>
          </w:p>
        </w:tc>
        <w:tc>
          <w:tcPr>
            <w:tcW w:type="dxa" w:w="5102"/>
            <w:vAlign w:val="top"/>
          </w:tcPr>
          <w:p>
            <w:r/>
            <w:r>
              <w:rPr>
                <w:rFonts w:ascii="Times New Roman" w:hAnsi="Times New Roman"/>
                <w:sz w:val="15"/>
              </w:rPr>
              <w:t>PP Nomor 71 Tahun 2010 tentang Standar Akuntansi Pemerintahan</w:t>
            </w:r>
          </w:p>
        </w:tc>
        <w:tc>
          <w:tcPr>
            <w:tcW w:type="dxa" w:w="4535"/>
            <w:vAlign w:val="top"/>
          </w:tcPr>
          <w:p>
            <w:r/>
            <w:r>
              <w:rPr>
                <w:rFonts w:ascii="Times New Roman" w:hAnsi="Times New Roman"/>
                <w:sz w:val="15"/>
              </w:rPr>
              <w:t>Standar Akuntansi Pemerintahan</w:t>
            </w:r>
          </w:p>
        </w:tc>
        <w:tc>
          <w:tcPr>
            <w:tcW w:type="dxa" w:w="1417"/>
            <w:vAlign w:val="top"/>
          </w:tcPr>
          <w:p>
            <w:r/>
            <w:r>
              <w:rPr>
                <w:rFonts w:ascii="Times New Roman" w:hAnsi="Times New Roman"/>
                <w:sz w:val="15"/>
              </w:rPr>
              <w:t>2010</w:t>
            </w:r>
          </w:p>
        </w:tc>
        <w:tc>
          <w:tcPr>
            <w:tcW w:type="dxa" w:w="1701"/>
            <w:vAlign w:val="top"/>
          </w:tcPr>
          <w:p>
            <w:r/>
            <w:r>
              <w:rPr>
                <w:rFonts w:ascii="Times New Roman" w:hAnsi="Times New Roman"/>
                <w:sz w:val="15"/>
              </w:rPr>
              <w:t>Eksplisit/utama</w:t>
            </w:r>
          </w:p>
        </w:tc>
        <w:tc>
          <w:tcPr>
            <w:tcW w:type="dxa" w:w="4535"/>
            <w:vAlign w:val="top"/>
          </w:tcPr>
          <w:p>
            <w:r/>
            <w:hyperlink r:id="rId15">
              <w:r>
                <w:rPr>
                  <w:color w:val="0563C1"/>
                  <w:u w:val="single"/>
                </w:rPr>
                <w:t>https://peraturan.bpk.go.id/Details/5095/pp-no-71-tahun-2010</w:t>
              </w:r>
            </w:hyperlink>
          </w:p>
        </w:tc>
      </w:tr>
      <w:tr>
        <w:trPr>
          <w:cantSplit/>
        </w:trPr>
        <w:tc>
          <w:tcPr>
            <w:tcW w:type="dxa" w:w="964"/>
            <w:vAlign w:val="top"/>
          </w:tcPr>
          <w:p>
            <w:r/>
            <w:r>
              <w:rPr>
                <w:rFonts w:ascii="Times New Roman" w:hAnsi="Times New Roman"/>
                <w:sz w:val="15"/>
              </w:rPr>
              <w:t>I-07</w:t>
            </w:r>
          </w:p>
        </w:tc>
        <w:tc>
          <w:tcPr>
            <w:tcW w:type="dxa" w:w="1134"/>
            <w:vAlign w:val="top"/>
          </w:tcPr>
          <w:p>
            <w:r/>
            <w:r>
              <w:rPr>
                <w:rFonts w:ascii="Times New Roman" w:hAnsi="Times New Roman"/>
                <w:sz w:val="15"/>
              </w:rPr>
              <w:t>Bab I</w:t>
            </w:r>
          </w:p>
        </w:tc>
        <w:tc>
          <w:tcPr>
            <w:tcW w:type="dxa" w:w="5102"/>
            <w:vAlign w:val="top"/>
          </w:tcPr>
          <w:p>
            <w:r/>
            <w:r>
              <w:rPr>
                <w:rFonts w:ascii="Times New Roman" w:hAnsi="Times New Roman"/>
                <w:sz w:val="15"/>
              </w:rPr>
              <w:t>PMK Nomor 100 Tahun 2025 tentang Kebijakan Akuntansi Pemerintah Pusat</w:t>
            </w:r>
          </w:p>
        </w:tc>
        <w:tc>
          <w:tcPr>
            <w:tcW w:type="dxa" w:w="4535"/>
            <w:vAlign w:val="top"/>
          </w:tcPr>
          <w:p>
            <w:r/>
            <w:r>
              <w:rPr>
                <w:rFonts w:ascii="Times New Roman" w:hAnsi="Times New Roman"/>
                <w:sz w:val="15"/>
              </w:rPr>
              <w:t>Kebijakan akuntansi Pemerintah Pusat</w:t>
            </w:r>
          </w:p>
        </w:tc>
        <w:tc>
          <w:tcPr>
            <w:tcW w:type="dxa" w:w="1417"/>
            <w:vAlign w:val="top"/>
          </w:tcPr>
          <w:p>
            <w:r/>
            <w:r>
              <w:rPr>
                <w:rFonts w:ascii="Times New Roman" w:hAnsi="Times New Roman"/>
                <w:sz w:val="15"/>
              </w:rPr>
              <w:t>2025</w:t>
            </w:r>
          </w:p>
        </w:tc>
        <w:tc>
          <w:tcPr>
            <w:tcW w:type="dxa" w:w="1701"/>
            <w:vAlign w:val="top"/>
          </w:tcPr>
          <w:p>
            <w:r/>
            <w:r>
              <w:rPr>
                <w:rFonts w:ascii="Times New Roman" w:hAnsi="Times New Roman"/>
                <w:sz w:val="15"/>
              </w:rPr>
              <w:t>Eksplisit/utama</w:t>
            </w:r>
          </w:p>
        </w:tc>
        <w:tc>
          <w:tcPr>
            <w:tcW w:type="dxa" w:w="4535"/>
            <w:vAlign w:val="top"/>
          </w:tcPr>
          <w:p>
            <w:r/>
            <w:hyperlink r:id="rId16">
              <w:r>
                <w:rPr>
                  <w:color w:val="0563C1"/>
                  <w:u w:val="single"/>
                </w:rPr>
                <w:t>https://jdih.kemenkeu.go.id/dok/pmk-100-tahun-2025</w:t>
              </w:r>
            </w:hyperlink>
          </w:p>
        </w:tc>
      </w:tr>
      <w:tr>
        <w:trPr>
          <w:cantSplit/>
        </w:trPr>
        <w:tc>
          <w:tcPr>
            <w:tcW w:type="dxa" w:w="964"/>
            <w:vAlign w:val="top"/>
          </w:tcPr>
          <w:p>
            <w:r/>
            <w:r>
              <w:rPr>
                <w:rFonts w:ascii="Times New Roman" w:hAnsi="Times New Roman"/>
                <w:sz w:val="15"/>
              </w:rPr>
              <w:t>I-08</w:t>
            </w:r>
          </w:p>
        </w:tc>
        <w:tc>
          <w:tcPr>
            <w:tcW w:type="dxa" w:w="1134"/>
            <w:vAlign w:val="top"/>
          </w:tcPr>
          <w:p>
            <w:r/>
            <w:r>
              <w:rPr>
                <w:rFonts w:ascii="Times New Roman" w:hAnsi="Times New Roman"/>
                <w:sz w:val="15"/>
              </w:rPr>
              <w:t>Bab I</w:t>
            </w:r>
          </w:p>
        </w:tc>
        <w:tc>
          <w:tcPr>
            <w:tcW w:type="dxa" w:w="5102"/>
            <w:vAlign w:val="top"/>
          </w:tcPr>
          <w:p>
            <w:r/>
            <w:r>
              <w:rPr>
                <w:rFonts w:ascii="Times New Roman" w:hAnsi="Times New Roman"/>
                <w:sz w:val="15"/>
              </w:rPr>
              <w:t>UU Nomor 17 Tahun 2003 tentang Keuangan Negara; UU Nomor 1 Tahun 2004 tentang Perbendaharaan Negara</w:t>
            </w:r>
          </w:p>
        </w:tc>
        <w:tc>
          <w:tcPr>
            <w:tcW w:type="dxa" w:w="4535"/>
            <w:vAlign w:val="top"/>
          </w:tcPr>
          <w:p>
            <w:r/>
            <w:r>
              <w:rPr>
                <w:rFonts w:ascii="Times New Roman" w:hAnsi="Times New Roman"/>
                <w:sz w:val="15"/>
              </w:rPr>
              <w:t>Kerangka keuangan negara</w:t>
            </w:r>
          </w:p>
        </w:tc>
        <w:tc>
          <w:tcPr>
            <w:tcW w:type="dxa" w:w="1417"/>
            <w:vAlign w:val="top"/>
          </w:tcPr>
          <w:p>
            <w:r/>
            <w:r>
              <w:rPr>
                <w:rFonts w:ascii="Times New Roman" w:hAnsi="Times New Roman"/>
                <w:sz w:val="15"/>
              </w:rPr>
              <w:t>2003/2004</w:t>
            </w:r>
          </w:p>
        </w:tc>
        <w:tc>
          <w:tcPr>
            <w:tcW w:type="dxa" w:w="1701"/>
            <w:vAlign w:val="top"/>
          </w:tcPr>
          <w:p>
            <w:r/>
            <w:r>
              <w:rPr>
                <w:rFonts w:ascii="Times New Roman" w:hAnsi="Times New Roman"/>
                <w:sz w:val="15"/>
              </w:rPr>
              <w:t>Pendukung primer</w:t>
            </w:r>
          </w:p>
        </w:tc>
        <w:tc>
          <w:tcPr>
            <w:tcW w:type="dxa" w:w="4535"/>
            <w:vAlign w:val="top"/>
          </w:tcPr>
          <w:p>
            <w:r/>
            <w:hyperlink r:id="rId17">
              <w:r>
                <w:rPr>
                  <w:color w:val="0563C1"/>
                  <w:u w:val="single"/>
                </w:rPr>
                <w:t>https://peraturan.bpk.go.id</w:t>
              </w:r>
            </w:hyperlink>
          </w:p>
        </w:tc>
      </w:tr>
      <w:tr>
        <w:trPr>
          <w:cantSplit/>
        </w:trPr>
        <w:tc>
          <w:tcPr>
            <w:tcW w:type="dxa" w:w="964"/>
            <w:vAlign w:val="top"/>
          </w:tcPr>
          <w:p>
            <w:r/>
            <w:r>
              <w:rPr>
                <w:rFonts w:ascii="Times New Roman" w:hAnsi="Times New Roman"/>
                <w:sz w:val="15"/>
              </w:rPr>
              <w:t>III-02</w:t>
            </w:r>
          </w:p>
        </w:tc>
        <w:tc>
          <w:tcPr>
            <w:tcW w:type="dxa" w:w="1134"/>
            <w:vAlign w:val="top"/>
          </w:tcPr>
          <w:p>
            <w:r/>
            <w:r>
              <w:rPr>
                <w:rFonts w:ascii="Times New Roman" w:hAnsi="Times New Roman"/>
                <w:sz w:val="15"/>
              </w:rPr>
              <w:t>Bab III</w:t>
            </w:r>
          </w:p>
        </w:tc>
        <w:tc>
          <w:tcPr>
            <w:tcW w:type="dxa" w:w="5102"/>
            <w:vAlign w:val="top"/>
          </w:tcPr>
          <w:p>
            <w:r/>
            <w:r>
              <w:rPr>
                <w:rFonts w:ascii="Times New Roman" w:hAnsi="Times New Roman"/>
                <w:sz w:val="15"/>
              </w:rPr>
              <w:t>PP Nomor 20 Tahun 2026 tentang Perubahan atas PP Nomor 55 Tahun 2022</w:t>
            </w:r>
          </w:p>
        </w:tc>
        <w:tc>
          <w:tcPr>
            <w:tcW w:type="dxa" w:w="4535"/>
            <w:vAlign w:val="top"/>
          </w:tcPr>
          <w:p>
            <w:r/>
            <w:r>
              <w:rPr>
                <w:rFonts w:ascii="Times New Roman" w:hAnsi="Times New Roman"/>
                <w:sz w:val="15"/>
              </w:rPr>
              <w:t>PPh Final UMKM 0,5%</w:t>
            </w:r>
          </w:p>
        </w:tc>
        <w:tc>
          <w:tcPr>
            <w:tcW w:type="dxa" w:w="1417"/>
            <w:vAlign w:val="top"/>
          </w:tcPr>
          <w:p>
            <w:r/>
            <w:r>
              <w:rPr>
                <w:rFonts w:ascii="Times New Roman" w:hAnsi="Times New Roman"/>
                <w:sz w:val="15"/>
              </w:rPr>
              <w:t>2026</w:t>
            </w:r>
          </w:p>
        </w:tc>
        <w:tc>
          <w:tcPr>
            <w:tcW w:type="dxa" w:w="1701"/>
            <w:vAlign w:val="top"/>
          </w:tcPr>
          <w:p>
            <w:r/>
            <w:r>
              <w:rPr>
                <w:rFonts w:ascii="Times New Roman" w:hAnsi="Times New Roman"/>
                <w:sz w:val="15"/>
              </w:rPr>
              <w:t>Eksplisit/utama</w:t>
            </w:r>
          </w:p>
        </w:tc>
        <w:tc>
          <w:tcPr>
            <w:tcW w:type="dxa" w:w="4535"/>
            <w:vAlign w:val="top"/>
          </w:tcPr>
          <w:p>
            <w:r/>
            <w:hyperlink r:id="rId20">
              <w:r>
                <w:rPr>
                  <w:color w:val="0563C1"/>
                  <w:u w:val="single"/>
                </w:rPr>
                <w:t>https://jdih.kemenkeu.go.id/dok/pp-20-tahun-2026/summary</w:t>
              </w:r>
            </w:hyperlink>
          </w:p>
        </w:tc>
      </w:tr>
      <w:tr>
        <w:trPr>
          <w:cantSplit/>
        </w:trPr>
        <w:tc>
          <w:tcPr>
            <w:tcW w:type="dxa" w:w="964"/>
            <w:vAlign w:val="top"/>
          </w:tcPr>
          <w:p>
            <w:r/>
            <w:r>
              <w:rPr>
                <w:rFonts w:ascii="Times New Roman" w:hAnsi="Times New Roman"/>
                <w:sz w:val="15"/>
              </w:rPr>
              <w:t>III-03</w:t>
            </w:r>
          </w:p>
        </w:tc>
        <w:tc>
          <w:tcPr>
            <w:tcW w:type="dxa" w:w="1134"/>
            <w:vAlign w:val="top"/>
          </w:tcPr>
          <w:p>
            <w:r/>
            <w:r>
              <w:rPr>
                <w:rFonts w:ascii="Times New Roman" w:hAnsi="Times New Roman"/>
                <w:sz w:val="15"/>
              </w:rPr>
              <w:t>Bab III</w:t>
            </w:r>
          </w:p>
        </w:tc>
        <w:tc>
          <w:tcPr>
            <w:tcW w:type="dxa" w:w="5102"/>
            <w:vAlign w:val="top"/>
          </w:tcPr>
          <w:p>
            <w:r/>
            <w:r>
              <w:rPr>
                <w:rFonts w:ascii="Times New Roman" w:hAnsi="Times New Roman"/>
                <w:sz w:val="15"/>
              </w:rPr>
              <w:t>UU Nomor 7 Tahun 2021 tentang Harmonisasi Peraturan Perpajakan</w:t>
            </w:r>
          </w:p>
        </w:tc>
        <w:tc>
          <w:tcPr>
            <w:tcW w:type="dxa" w:w="4535"/>
            <w:vAlign w:val="top"/>
          </w:tcPr>
          <w:p>
            <w:r/>
            <w:r>
              <w:rPr>
                <w:rFonts w:ascii="Times New Roman" w:hAnsi="Times New Roman"/>
                <w:sz w:val="15"/>
              </w:rPr>
              <w:t>Tarif PPN dan desain HPP</w:t>
            </w:r>
          </w:p>
        </w:tc>
        <w:tc>
          <w:tcPr>
            <w:tcW w:type="dxa" w:w="1417"/>
            <w:vAlign w:val="top"/>
          </w:tcPr>
          <w:p>
            <w:r/>
            <w:r>
              <w:rPr>
                <w:rFonts w:ascii="Times New Roman" w:hAnsi="Times New Roman"/>
                <w:sz w:val="15"/>
              </w:rPr>
              <w:t>2021</w:t>
            </w:r>
          </w:p>
        </w:tc>
        <w:tc>
          <w:tcPr>
            <w:tcW w:type="dxa" w:w="1701"/>
            <w:vAlign w:val="top"/>
          </w:tcPr>
          <w:p>
            <w:r/>
            <w:r>
              <w:rPr>
                <w:rFonts w:ascii="Times New Roman" w:hAnsi="Times New Roman"/>
                <w:sz w:val="15"/>
              </w:rPr>
              <w:t>Eksplisit/utama</w:t>
            </w:r>
          </w:p>
        </w:tc>
        <w:tc>
          <w:tcPr>
            <w:tcW w:type="dxa" w:w="4535"/>
            <w:vAlign w:val="top"/>
          </w:tcPr>
          <w:p>
            <w:r/>
            <w:hyperlink r:id="rId21">
              <w:r>
                <w:rPr>
                  <w:color w:val="0563C1"/>
                  <w:u w:val="single"/>
                </w:rPr>
                <w:t>https://peraturan.bpk.go.id/Details/185162/uu-no-7-tahun-2021</w:t>
              </w:r>
            </w:hyperlink>
          </w:p>
        </w:tc>
      </w:tr>
      <w:tr>
        <w:trPr>
          <w:cantSplit/>
        </w:trPr>
        <w:tc>
          <w:tcPr>
            <w:tcW w:type="dxa" w:w="964"/>
            <w:vAlign w:val="top"/>
          </w:tcPr>
          <w:p>
            <w:r/>
            <w:r>
              <w:rPr>
                <w:rFonts w:ascii="Times New Roman" w:hAnsi="Times New Roman"/>
                <w:sz w:val="15"/>
              </w:rPr>
              <w:t>III-04</w:t>
            </w:r>
          </w:p>
        </w:tc>
        <w:tc>
          <w:tcPr>
            <w:tcW w:type="dxa" w:w="1134"/>
            <w:vAlign w:val="top"/>
          </w:tcPr>
          <w:p>
            <w:r/>
            <w:r>
              <w:rPr>
                <w:rFonts w:ascii="Times New Roman" w:hAnsi="Times New Roman"/>
                <w:sz w:val="15"/>
              </w:rPr>
              <w:t>Bab III</w:t>
            </w:r>
          </w:p>
        </w:tc>
        <w:tc>
          <w:tcPr>
            <w:tcW w:type="dxa" w:w="5102"/>
            <w:vAlign w:val="top"/>
          </w:tcPr>
          <w:p>
            <w:r/>
            <w:r>
              <w:rPr>
                <w:rFonts w:ascii="Times New Roman" w:hAnsi="Times New Roman"/>
                <w:sz w:val="15"/>
              </w:rPr>
              <w:t>PMK Nomor 131 Tahun 2024</w:t>
            </w:r>
          </w:p>
        </w:tc>
        <w:tc>
          <w:tcPr>
            <w:tcW w:type="dxa" w:w="4535"/>
            <w:vAlign w:val="top"/>
          </w:tcPr>
          <w:p>
            <w:r/>
            <w:r>
              <w:rPr>
                <w:rFonts w:ascii="Times New Roman" w:hAnsi="Times New Roman"/>
                <w:sz w:val="15"/>
              </w:rPr>
              <w:t>DPP nilai lain PPN 2025</w:t>
            </w:r>
          </w:p>
        </w:tc>
        <w:tc>
          <w:tcPr>
            <w:tcW w:type="dxa" w:w="1417"/>
            <w:vAlign w:val="top"/>
          </w:tcPr>
          <w:p>
            <w:r/>
            <w:r>
              <w:rPr>
                <w:rFonts w:ascii="Times New Roman" w:hAnsi="Times New Roman"/>
                <w:sz w:val="15"/>
              </w:rPr>
              <w:t>2024/2025</w:t>
            </w:r>
          </w:p>
        </w:tc>
        <w:tc>
          <w:tcPr>
            <w:tcW w:type="dxa" w:w="1701"/>
            <w:vAlign w:val="top"/>
          </w:tcPr>
          <w:p>
            <w:r/>
            <w:r>
              <w:rPr>
                <w:rFonts w:ascii="Times New Roman" w:hAnsi="Times New Roman"/>
                <w:sz w:val="15"/>
              </w:rPr>
              <w:t>Eksplisit/utama</w:t>
            </w:r>
          </w:p>
        </w:tc>
        <w:tc>
          <w:tcPr>
            <w:tcW w:type="dxa" w:w="4535"/>
            <w:vAlign w:val="top"/>
          </w:tcPr>
          <w:p>
            <w:r/>
            <w:hyperlink r:id="rId22">
              <w:r>
                <w:rPr>
                  <w:color w:val="0563C1"/>
                  <w:u w:val="single"/>
                </w:rPr>
                <w:t>https://jdih.kemenkeu.go.id/dok/pmk-131-tahun-2024</w:t>
              </w:r>
            </w:hyperlink>
          </w:p>
        </w:tc>
      </w:tr>
      <w:tr>
        <w:trPr>
          <w:cantSplit/>
        </w:trPr>
        <w:tc>
          <w:tcPr>
            <w:tcW w:type="dxa" w:w="964"/>
            <w:vAlign w:val="top"/>
          </w:tcPr>
          <w:p>
            <w:r/>
            <w:r>
              <w:rPr>
                <w:rFonts w:ascii="Times New Roman" w:hAnsi="Times New Roman"/>
                <w:sz w:val="15"/>
              </w:rPr>
              <w:t>III-07</w:t>
            </w:r>
          </w:p>
        </w:tc>
        <w:tc>
          <w:tcPr>
            <w:tcW w:type="dxa" w:w="1134"/>
            <w:vAlign w:val="top"/>
          </w:tcPr>
          <w:p>
            <w:r/>
            <w:r>
              <w:rPr>
                <w:rFonts w:ascii="Times New Roman" w:hAnsi="Times New Roman"/>
                <w:sz w:val="15"/>
              </w:rPr>
              <w:t>Bab III</w:t>
            </w:r>
          </w:p>
        </w:tc>
        <w:tc>
          <w:tcPr>
            <w:tcW w:type="dxa" w:w="5102"/>
            <w:vAlign w:val="top"/>
          </w:tcPr>
          <w:p>
            <w:r/>
            <w:r>
              <w:rPr>
                <w:rFonts w:ascii="Times New Roman" w:hAnsi="Times New Roman"/>
                <w:sz w:val="15"/>
              </w:rPr>
              <w:t>UU Nomor 1 Tahun 2022 tentang HKPD</w:t>
            </w:r>
          </w:p>
        </w:tc>
        <w:tc>
          <w:tcPr>
            <w:tcW w:type="dxa" w:w="4535"/>
            <w:vAlign w:val="top"/>
          </w:tcPr>
          <w:p>
            <w:r/>
            <w:r>
              <w:rPr>
                <w:rFonts w:ascii="Times New Roman" w:hAnsi="Times New Roman"/>
                <w:sz w:val="15"/>
              </w:rPr>
              <w:t>Hubungan keuangan pusat-daerah</w:t>
            </w:r>
          </w:p>
        </w:tc>
        <w:tc>
          <w:tcPr>
            <w:tcW w:type="dxa" w:w="1417"/>
            <w:vAlign w:val="top"/>
          </w:tcPr>
          <w:p>
            <w:r/>
            <w:r>
              <w:rPr>
                <w:rFonts w:ascii="Times New Roman" w:hAnsi="Times New Roman"/>
                <w:sz w:val="15"/>
              </w:rPr>
              <w:t>2022</w:t>
            </w:r>
          </w:p>
        </w:tc>
        <w:tc>
          <w:tcPr>
            <w:tcW w:type="dxa" w:w="1701"/>
            <w:vAlign w:val="top"/>
          </w:tcPr>
          <w:p>
            <w:r/>
            <w:r>
              <w:rPr>
                <w:rFonts w:ascii="Times New Roman" w:hAnsi="Times New Roman"/>
                <w:sz w:val="15"/>
              </w:rPr>
              <w:t>Eksplisit/utama</w:t>
            </w:r>
          </w:p>
        </w:tc>
        <w:tc>
          <w:tcPr>
            <w:tcW w:type="dxa" w:w="4535"/>
            <w:vAlign w:val="top"/>
          </w:tcPr>
          <w:p>
            <w:r/>
            <w:hyperlink r:id="rId25">
              <w:r>
                <w:rPr>
                  <w:color w:val="0563C1"/>
                  <w:u w:val="single"/>
                </w:rPr>
                <w:t>https://peraturan.bpk.go.id/Details/195696/uu-no-1-tahun-2022</w:t>
              </w:r>
            </w:hyperlink>
          </w:p>
        </w:tc>
      </w:tr>
      <w:tr>
        <w:trPr>
          <w:cantSplit/>
        </w:trPr>
        <w:tc>
          <w:tcPr>
            <w:tcW w:type="dxa" w:w="964"/>
            <w:vAlign w:val="top"/>
          </w:tcPr>
          <w:p>
            <w:r/>
            <w:r>
              <w:rPr>
                <w:rFonts w:ascii="Times New Roman" w:hAnsi="Times New Roman"/>
                <w:sz w:val="15"/>
              </w:rPr>
              <w:t>III-08</w:t>
            </w:r>
          </w:p>
        </w:tc>
        <w:tc>
          <w:tcPr>
            <w:tcW w:type="dxa" w:w="1134"/>
            <w:vAlign w:val="top"/>
          </w:tcPr>
          <w:p>
            <w:r/>
            <w:r>
              <w:rPr>
                <w:rFonts w:ascii="Times New Roman" w:hAnsi="Times New Roman"/>
                <w:sz w:val="15"/>
              </w:rPr>
              <w:t>Bab III</w:t>
            </w:r>
          </w:p>
        </w:tc>
        <w:tc>
          <w:tcPr>
            <w:tcW w:type="dxa" w:w="5102"/>
            <w:vAlign w:val="top"/>
          </w:tcPr>
          <w:p>
            <w:r/>
            <w:r>
              <w:rPr>
                <w:rFonts w:ascii="Times New Roman" w:hAnsi="Times New Roman"/>
                <w:sz w:val="15"/>
              </w:rPr>
              <w:t>PP Nomor 35 Tahun 2023 tentang Ketentuan Umum PDRD</w:t>
            </w:r>
          </w:p>
        </w:tc>
        <w:tc>
          <w:tcPr>
            <w:tcW w:type="dxa" w:w="4535"/>
            <w:vAlign w:val="top"/>
          </w:tcPr>
          <w:p>
            <w:r/>
            <w:r>
              <w:rPr>
                <w:rFonts w:ascii="Times New Roman" w:hAnsi="Times New Roman"/>
                <w:sz w:val="15"/>
              </w:rPr>
              <w:t>Pajak Daerah dan Retribusi Daerah</w:t>
            </w:r>
          </w:p>
        </w:tc>
        <w:tc>
          <w:tcPr>
            <w:tcW w:type="dxa" w:w="1417"/>
            <w:vAlign w:val="top"/>
          </w:tcPr>
          <w:p>
            <w:r/>
            <w:r>
              <w:rPr>
                <w:rFonts w:ascii="Times New Roman" w:hAnsi="Times New Roman"/>
                <w:sz w:val="15"/>
              </w:rPr>
              <w:t>2023</w:t>
            </w:r>
          </w:p>
        </w:tc>
        <w:tc>
          <w:tcPr>
            <w:tcW w:type="dxa" w:w="1701"/>
            <w:vAlign w:val="top"/>
          </w:tcPr>
          <w:p>
            <w:r/>
            <w:r>
              <w:rPr>
                <w:rFonts w:ascii="Times New Roman" w:hAnsi="Times New Roman"/>
                <w:sz w:val="15"/>
              </w:rPr>
              <w:t>Eksplisit/utama</w:t>
            </w:r>
          </w:p>
        </w:tc>
        <w:tc>
          <w:tcPr>
            <w:tcW w:type="dxa" w:w="4535"/>
            <w:vAlign w:val="top"/>
          </w:tcPr>
          <w:p>
            <w:r/>
            <w:hyperlink r:id="rId26">
              <w:r>
                <w:rPr>
                  <w:color w:val="0563C1"/>
                  <w:u w:val="single"/>
                </w:rPr>
                <w:t>https://peraturan.bpk.go.id/Details/252130/pp-no-35-tahun-2023</w:t>
              </w:r>
            </w:hyperlink>
          </w:p>
        </w:tc>
      </w:tr>
      <w:tr>
        <w:trPr>
          <w:cantSplit/>
        </w:trPr>
        <w:tc>
          <w:tcPr>
            <w:tcW w:type="dxa" w:w="964"/>
            <w:vAlign w:val="top"/>
          </w:tcPr>
          <w:p>
            <w:r/>
            <w:r>
              <w:rPr>
                <w:rFonts w:ascii="Times New Roman" w:hAnsi="Times New Roman"/>
                <w:sz w:val="15"/>
              </w:rPr>
              <w:t>IV-04</w:t>
            </w:r>
          </w:p>
        </w:tc>
        <w:tc>
          <w:tcPr>
            <w:tcW w:type="dxa" w:w="1134"/>
            <w:vAlign w:val="top"/>
          </w:tcPr>
          <w:p>
            <w:r/>
            <w:r>
              <w:rPr>
                <w:rFonts w:ascii="Times New Roman" w:hAnsi="Times New Roman"/>
                <w:sz w:val="15"/>
              </w:rPr>
              <w:t>Bab IV</w:t>
            </w:r>
          </w:p>
        </w:tc>
        <w:tc>
          <w:tcPr>
            <w:tcW w:type="dxa" w:w="5102"/>
            <w:vAlign w:val="top"/>
          </w:tcPr>
          <w:p>
            <w:r/>
            <w:r>
              <w:rPr>
                <w:rFonts w:ascii="Times New Roman" w:hAnsi="Times New Roman"/>
                <w:sz w:val="15"/>
              </w:rPr>
              <w:t>UU Nomor 9 Tahun 2018 tentang PNBP</w:t>
            </w:r>
          </w:p>
        </w:tc>
        <w:tc>
          <w:tcPr>
            <w:tcW w:type="dxa" w:w="4535"/>
            <w:vAlign w:val="top"/>
          </w:tcPr>
          <w:p>
            <w:r/>
            <w:r>
              <w:rPr>
                <w:rFonts w:ascii="Times New Roman" w:hAnsi="Times New Roman"/>
                <w:sz w:val="15"/>
              </w:rPr>
              <w:t>Kerangka pengelolaan PNBP</w:t>
            </w:r>
          </w:p>
        </w:tc>
        <w:tc>
          <w:tcPr>
            <w:tcW w:type="dxa" w:w="1417"/>
            <w:vAlign w:val="top"/>
          </w:tcPr>
          <w:p>
            <w:r/>
            <w:r>
              <w:rPr>
                <w:rFonts w:ascii="Times New Roman" w:hAnsi="Times New Roman"/>
                <w:sz w:val="15"/>
              </w:rPr>
              <w:t>2018</w:t>
            </w:r>
          </w:p>
        </w:tc>
        <w:tc>
          <w:tcPr>
            <w:tcW w:type="dxa" w:w="1701"/>
            <w:vAlign w:val="top"/>
          </w:tcPr>
          <w:p>
            <w:r/>
            <w:r>
              <w:rPr>
                <w:rFonts w:ascii="Times New Roman" w:hAnsi="Times New Roman"/>
                <w:sz w:val="15"/>
              </w:rPr>
              <w:t>Eksplisit/utama</w:t>
            </w:r>
          </w:p>
        </w:tc>
        <w:tc>
          <w:tcPr>
            <w:tcW w:type="dxa" w:w="4535"/>
            <w:vAlign w:val="top"/>
          </w:tcPr>
          <w:p>
            <w:r/>
            <w:hyperlink r:id="rId30">
              <w:r>
                <w:rPr>
                  <w:color w:val="0563C1"/>
                  <w:u w:val="single"/>
                </w:rPr>
                <w:t>https://peraturan.bpk.go.id/Details/90041/uu-no-9-tahun-2018</w:t>
              </w:r>
            </w:hyperlink>
          </w:p>
        </w:tc>
      </w:tr>
      <w:tr>
        <w:trPr>
          <w:cantSplit/>
        </w:trPr>
        <w:tc>
          <w:tcPr>
            <w:tcW w:type="dxa" w:w="964"/>
            <w:vAlign w:val="top"/>
          </w:tcPr>
          <w:p>
            <w:r/>
            <w:r>
              <w:rPr>
                <w:rFonts w:ascii="Times New Roman" w:hAnsi="Times New Roman"/>
                <w:sz w:val="15"/>
              </w:rPr>
              <w:t>IV-05</w:t>
            </w:r>
          </w:p>
        </w:tc>
        <w:tc>
          <w:tcPr>
            <w:tcW w:type="dxa" w:w="1134"/>
            <w:vAlign w:val="top"/>
          </w:tcPr>
          <w:p>
            <w:r/>
            <w:r>
              <w:rPr>
                <w:rFonts w:ascii="Times New Roman" w:hAnsi="Times New Roman"/>
                <w:sz w:val="15"/>
              </w:rPr>
              <w:t>Bab IV</w:t>
            </w:r>
          </w:p>
        </w:tc>
        <w:tc>
          <w:tcPr>
            <w:tcW w:type="dxa" w:w="5102"/>
            <w:vAlign w:val="top"/>
          </w:tcPr>
          <w:p>
            <w:r/>
            <w:r>
              <w:rPr>
                <w:rFonts w:ascii="Times New Roman" w:hAnsi="Times New Roman"/>
                <w:sz w:val="15"/>
              </w:rPr>
              <w:t>PP Nomor 44 Tahun 2025</w:t>
            </w:r>
          </w:p>
        </w:tc>
        <w:tc>
          <w:tcPr>
            <w:tcW w:type="dxa" w:w="4535"/>
            <w:vAlign w:val="top"/>
          </w:tcPr>
          <w:p>
            <w:r/>
            <w:r>
              <w:rPr>
                <w:rFonts w:ascii="Times New Roman" w:hAnsi="Times New Roman"/>
                <w:sz w:val="15"/>
              </w:rPr>
              <w:t>Penetapan tarif dan pengelolaan PNBP</w:t>
            </w:r>
          </w:p>
        </w:tc>
        <w:tc>
          <w:tcPr>
            <w:tcW w:type="dxa" w:w="1417"/>
            <w:vAlign w:val="top"/>
          </w:tcPr>
          <w:p>
            <w:r/>
            <w:r>
              <w:rPr>
                <w:rFonts w:ascii="Times New Roman" w:hAnsi="Times New Roman"/>
                <w:sz w:val="15"/>
              </w:rPr>
              <w:t>2025</w:t>
            </w:r>
          </w:p>
        </w:tc>
        <w:tc>
          <w:tcPr>
            <w:tcW w:type="dxa" w:w="1701"/>
            <w:vAlign w:val="top"/>
          </w:tcPr>
          <w:p>
            <w:r/>
            <w:r>
              <w:rPr>
                <w:rFonts w:ascii="Times New Roman" w:hAnsi="Times New Roman"/>
                <w:sz w:val="15"/>
              </w:rPr>
              <w:t>Eksplisit/utama</w:t>
            </w:r>
          </w:p>
        </w:tc>
        <w:tc>
          <w:tcPr>
            <w:tcW w:type="dxa" w:w="4535"/>
            <w:vAlign w:val="top"/>
          </w:tcPr>
          <w:p>
            <w:r/>
            <w:hyperlink r:id="rId31">
              <w:r>
                <w:rPr>
                  <w:color w:val="0563C1"/>
                  <w:u w:val="single"/>
                </w:rPr>
                <w:t>https://peraturan.bpk.go.id/Details/331115/pp-no-44-tahun-2025</w:t>
              </w:r>
            </w:hyperlink>
          </w:p>
        </w:tc>
      </w:tr>
      <w:tr>
        <w:trPr>
          <w:cantSplit/>
        </w:trPr>
        <w:tc>
          <w:tcPr>
            <w:tcW w:type="dxa" w:w="964"/>
            <w:vAlign w:val="top"/>
          </w:tcPr>
          <w:p>
            <w:r/>
            <w:r>
              <w:rPr>
                <w:rFonts w:ascii="Times New Roman" w:hAnsi="Times New Roman"/>
                <w:sz w:val="15"/>
              </w:rPr>
              <w:t>IV-06</w:t>
            </w:r>
          </w:p>
        </w:tc>
        <w:tc>
          <w:tcPr>
            <w:tcW w:type="dxa" w:w="1134"/>
            <w:vAlign w:val="top"/>
          </w:tcPr>
          <w:p>
            <w:r/>
            <w:r>
              <w:rPr>
                <w:rFonts w:ascii="Times New Roman" w:hAnsi="Times New Roman"/>
                <w:sz w:val="15"/>
              </w:rPr>
              <w:t>Bab IV</w:t>
            </w:r>
          </w:p>
        </w:tc>
        <w:tc>
          <w:tcPr>
            <w:tcW w:type="dxa" w:w="5102"/>
            <w:vAlign w:val="top"/>
          </w:tcPr>
          <w:p>
            <w:r/>
            <w:r>
              <w:rPr>
                <w:rFonts w:ascii="Times New Roman" w:hAnsi="Times New Roman"/>
                <w:sz w:val="15"/>
              </w:rPr>
              <w:t>PP Nomor 19 Tahun 2025</w:t>
            </w:r>
          </w:p>
        </w:tc>
        <w:tc>
          <w:tcPr>
            <w:tcW w:type="dxa" w:w="4535"/>
            <w:vAlign w:val="top"/>
          </w:tcPr>
          <w:p>
            <w:r/>
            <w:r>
              <w:rPr>
                <w:rFonts w:ascii="Times New Roman" w:hAnsi="Times New Roman"/>
                <w:sz w:val="15"/>
              </w:rPr>
              <w:t>Tarif PNBP Kementerian ESDM</w:t>
            </w:r>
          </w:p>
        </w:tc>
        <w:tc>
          <w:tcPr>
            <w:tcW w:type="dxa" w:w="1417"/>
            <w:vAlign w:val="top"/>
          </w:tcPr>
          <w:p>
            <w:r/>
            <w:r>
              <w:rPr>
                <w:rFonts w:ascii="Times New Roman" w:hAnsi="Times New Roman"/>
                <w:sz w:val="15"/>
              </w:rPr>
              <w:t>2025</w:t>
            </w:r>
          </w:p>
        </w:tc>
        <w:tc>
          <w:tcPr>
            <w:tcW w:type="dxa" w:w="1701"/>
            <w:vAlign w:val="top"/>
          </w:tcPr>
          <w:p>
            <w:r/>
            <w:r>
              <w:rPr>
                <w:rFonts w:ascii="Times New Roman" w:hAnsi="Times New Roman"/>
                <w:sz w:val="15"/>
              </w:rPr>
              <w:t>Eksplisit/utama</w:t>
            </w:r>
          </w:p>
        </w:tc>
        <w:tc>
          <w:tcPr>
            <w:tcW w:type="dxa" w:w="4535"/>
            <w:vAlign w:val="top"/>
          </w:tcPr>
          <w:p>
            <w:r/>
            <w:hyperlink r:id="rId32">
              <w:r>
                <w:rPr>
                  <w:color w:val="0563C1"/>
                  <w:u w:val="single"/>
                </w:rPr>
                <w:t>https://peraturan.bpk.go.id/Details/320049/pp-no-19-tahun-2025</w:t>
              </w:r>
            </w:hyperlink>
          </w:p>
        </w:tc>
      </w:tr>
      <w:tr>
        <w:trPr>
          <w:cantSplit/>
        </w:trPr>
        <w:tc>
          <w:tcPr>
            <w:tcW w:type="dxa" w:w="964"/>
            <w:vAlign w:val="top"/>
          </w:tcPr>
          <w:p>
            <w:r/>
            <w:r>
              <w:rPr>
                <w:rFonts w:ascii="Times New Roman" w:hAnsi="Times New Roman"/>
                <w:sz w:val="15"/>
              </w:rPr>
              <w:t>IV-07</w:t>
            </w:r>
          </w:p>
        </w:tc>
        <w:tc>
          <w:tcPr>
            <w:tcW w:type="dxa" w:w="1134"/>
            <w:vAlign w:val="top"/>
          </w:tcPr>
          <w:p>
            <w:r/>
            <w:r>
              <w:rPr>
                <w:rFonts w:ascii="Times New Roman" w:hAnsi="Times New Roman"/>
                <w:sz w:val="15"/>
              </w:rPr>
              <w:t>Bab IV</w:t>
            </w:r>
          </w:p>
        </w:tc>
        <w:tc>
          <w:tcPr>
            <w:tcW w:type="dxa" w:w="5102"/>
            <w:vAlign w:val="top"/>
          </w:tcPr>
          <w:p>
            <w:r/>
            <w:r>
              <w:rPr>
                <w:rFonts w:ascii="Times New Roman" w:hAnsi="Times New Roman"/>
                <w:sz w:val="15"/>
              </w:rPr>
              <w:t>PP Nomor 18 Tahun 2025</w:t>
            </w:r>
          </w:p>
        </w:tc>
        <w:tc>
          <w:tcPr>
            <w:tcW w:type="dxa" w:w="4535"/>
            <w:vAlign w:val="top"/>
          </w:tcPr>
          <w:p>
            <w:r/>
            <w:r>
              <w:rPr>
                <w:rFonts w:ascii="Times New Roman" w:hAnsi="Times New Roman"/>
                <w:sz w:val="15"/>
              </w:rPr>
              <w:t>Perpajakan/PNBP usaha batubara</w:t>
            </w:r>
          </w:p>
        </w:tc>
        <w:tc>
          <w:tcPr>
            <w:tcW w:type="dxa" w:w="1417"/>
            <w:vAlign w:val="top"/>
          </w:tcPr>
          <w:p>
            <w:r/>
            <w:r>
              <w:rPr>
                <w:rFonts w:ascii="Times New Roman" w:hAnsi="Times New Roman"/>
                <w:sz w:val="15"/>
              </w:rPr>
              <w:t>2025</w:t>
            </w:r>
          </w:p>
        </w:tc>
        <w:tc>
          <w:tcPr>
            <w:tcW w:type="dxa" w:w="1701"/>
            <w:vAlign w:val="top"/>
          </w:tcPr>
          <w:p>
            <w:r/>
            <w:r>
              <w:rPr>
                <w:rFonts w:ascii="Times New Roman" w:hAnsi="Times New Roman"/>
                <w:sz w:val="15"/>
              </w:rPr>
              <w:t>Eksplisit/utama</w:t>
            </w:r>
          </w:p>
        </w:tc>
        <w:tc>
          <w:tcPr>
            <w:tcW w:type="dxa" w:w="4535"/>
            <w:vAlign w:val="top"/>
          </w:tcPr>
          <w:p>
            <w:r/>
            <w:hyperlink r:id="rId33">
              <w:r>
                <w:rPr>
                  <w:color w:val="0563C1"/>
                  <w:u w:val="single"/>
                </w:rPr>
                <w:t>https://peraturan.bpk.go.id/Details/320043</w:t>
              </w:r>
            </w:hyperlink>
          </w:p>
        </w:tc>
      </w:tr>
      <w:tr>
        <w:trPr>
          <w:cantSplit/>
        </w:trPr>
        <w:tc>
          <w:tcPr>
            <w:tcW w:type="dxa" w:w="964"/>
            <w:vAlign w:val="top"/>
          </w:tcPr>
          <w:p>
            <w:r/>
            <w:r>
              <w:rPr>
                <w:rFonts w:ascii="Times New Roman" w:hAnsi="Times New Roman"/>
                <w:sz w:val="15"/>
              </w:rPr>
              <w:t>IV-08</w:t>
            </w:r>
          </w:p>
        </w:tc>
        <w:tc>
          <w:tcPr>
            <w:tcW w:type="dxa" w:w="1134"/>
            <w:vAlign w:val="top"/>
          </w:tcPr>
          <w:p>
            <w:r/>
            <w:r>
              <w:rPr>
                <w:rFonts w:ascii="Times New Roman" w:hAnsi="Times New Roman"/>
                <w:sz w:val="15"/>
              </w:rPr>
              <w:t>Bab IV</w:t>
            </w:r>
          </w:p>
        </w:tc>
        <w:tc>
          <w:tcPr>
            <w:tcW w:type="dxa" w:w="5102"/>
            <w:vAlign w:val="top"/>
          </w:tcPr>
          <w:p>
            <w:r/>
            <w:r>
              <w:rPr>
                <w:rFonts w:ascii="Times New Roman" w:hAnsi="Times New Roman"/>
                <w:sz w:val="15"/>
              </w:rPr>
              <w:t>Perpres Nomor 132 Tahun 2024 tentang Pengelolaan Dana Perkebunan</w:t>
            </w:r>
          </w:p>
        </w:tc>
        <w:tc>
          <w:tcPr>
            <w:tcW w:type="dxa" w:w="4535"/>
            <w:vAlign w:val="top"/>
          </w:tcPr>
          <w:p>
            <w:r/>
            <w:r>
              <w:rPr>
                <w:rFonts w:ascii="Times New Roman" w:hAnsi="Times New Roman"/>
                <w:sz w:val="15"/>
              </w:rPr>
              <w:t>Dana Perkebunan</w:t>
            </w:r>
          </w:p>
        </w:tc>
        <w:tc>
          <w:tcPr>
            <w:tcW w:type="dxa" w:w="1417"/>
            <w:vAlign w:val="top"/>
          </w:tcPr>
          <w:p>
            <w:r/>
            <w:r>
              <w:rPr>
                <w:rFonts w:ascii="Times New Roman" w:hAnsi="Times New Roman"/>
                <w:sz w:val="15"/>
              </w:rPr>
              <w:t>2024</w:t>
            </w:r>
          </w:p>
        </w:tc>
        <w:tc>
          <w:tcPr>
            <w:tcW w:type="dxa" w:w="1701"/>
            <w:vAlign w:val="top"/>
          </w:tcPr>
          <w:p>
            <w:r/>
            <w:r>
              <w:rPr>
                <w:rFonts w:ascii="Times New Roman" w:hAnsi="Times New Roman"/>
                <w:sz w:val="15"/>
              </w:rPr>
              <w:t>Eksplisit/utama</w:t>
            </w:r>
          </w:p>
        </w:tc>
        <w:tc>
          <w:tcPr>
            <w:tcW w:type="dxa" w:w="4535"/>
            <w:vAlign w:val="top"/>
          </w:tcPr>
          <w:p>
            <w:r/>
            <w:hyperlink r:id="rId34">
              <w:r>
                <w:rPr>
                  <w:color w:val="0563C1"/>
                  <w:u w:val="single"/>
                </w:rPr>
                <w:t>https://peraturan.bpk.go.id/Details/305311/perpres-no-132-tahun-2024</w:t>
              </w:r>
            </w:hyperlink>
          </w:p>
        </w:tc>
      </w:tr>
      <w:tr>
        <w:trPr>
          <w:cantSplit/>
        </w:trPr>
        <w:tc>
          <w:tcPr>
            <w:tcW w:type="dxa" w:w="964"/>
            <w:vAlign w:val="top"/>
          </w:tcPr>
          <w:p>
            <w:r/>
            <w:r>
              <w:rPr>
                <w:rFonts w:ascii="Times New Roman" w:hAnsi="Times New Roman"/>
                <w:sz w:val="15"/>
              </w:rPr>
              <w:t>IV-09</w:t>
            </w:r>
          </w:p>
        </w:tc>
        <w:tc>
          <w:tcPr>
            <w:tcW w:type="dxa" w:w="1134"/>
            <w:vAlign w:val="top"/>
          </w:tcPr>
          <w:p>
            <w:r/>
            <w:r>
              <w:rPr>
                <w:rFonts w:ascii="Times New Roman" w:hAnsi="Times New Roman"/>
                <w:sz w:val="15"/>
              </w:rPr>
              <w:t>Bab IV</w:t>
            </w:r>
          </w:p>
        </w:tc>
        <w:tc>
          <w:tcPr>
            <w:tcW w:type="dxa" w:w="5102"/>
            <w:vAlign w:val="top"/>
          </w:tcPr>
          <w:p>
            <w:r/>
            <w:r>
              <w:rPr>
                <w:rFonts w:ascii="Times New Roman" w:hAnsi="Times New Roman"/>
                <w:sz w:val="15"/>
              </w:rPr>
              <w:t>PMK Nomor 69 Tahun 2025 jo. PMK Nomor 9 Tahun 2026</w:t>
            </w:r>
          </w:p>
        </w:tc>
        <w:tc>
          <w:tcPr>
            <w:tcW w:type="dxa" w:w="4535"/>
            <w:vAlign w:val="top"/>
          </w:tcPr>
          <w:p>
            <w:r/>
            <w:r>
              <w:rPr>
                <w:rFonts w:ascii="Times New Roman" w:hAnsi="Times New Roman"/>
                <w:sz w:val="15"/>
              </w:rPr>
              <w:t>Tarif layanan Dana Perkebunan</w:t>
            </w:r>
          </w:p>
        </w:tc>
        <w:tc>
          <w:tcPr>
            <w:tcW w:type="dxa" w:w="1417"/>
            <w:vAlign w:val="top"/>
          </w:tcPr>
          <w:p>
            <w:r/>
            <w:r>
              <w:rPr>
                <w:rFonts w:ascii="Times New Roman" w:hAnsi="Times New Roman"/>
                <w:sz w:val="15"/>
              </w:rPr>
              <w:t>2025/2026</w:t>
            </w:r>
          </w:p>
        </w:tc>
        <w:tc>
          <w:tcPr>
            <w:tcW w:type="dxa" w:w="1701"/>
            <w:vAlign w:val="top"/>
          </w:tcPr>
          <w:p>
            <w:r/>
            <w:r>
              <w:rPr>
                <w:rFonts w:ascii="Times New Roman" w:hAnsi="Times New Roman"/>
                <w:sz w:val="15"/>
              </w:rPr>
              <w:t>Eksplisit/utama</w:t>
            </w:r>
          </w:p>
        </w:tc>
        <w:tc>
          <w:tcPr>
            <w:tcW w:type="dxa" w:w="4535"/>
            <w:vAlign w:val="top"/>
          </w:tcPr>
          <w:p>
            <w:r/>
            <w:hyperlink r:id="rId35">
              <w:r>
                <w:rPr>
                  <w:color w:val="0563C1"/>
                  <w:u w:val="single"/>
                </w:rPr>
                <w:t>https://jdih.kemenkeu.go.id/dok/pmk-69-tahun-2025/view</w:t>
              </w:r>
            </w:hyperlink>
          </w:p>
        </w:tc>
      </w:tr>
      <w:tr>
        <w:trPr>
          <w:cantSplit/>
        </w:trPr>
        <w:tc>
          <w:tcPr>
            <w:tcW w:type="dxa" w:w="964"/>
            <w:vAlign w:val="top"/>
          </w:tcPr>
          <w:p>
            <w:r/>
            <w:r>
              <w:rPr>
                <w:rFonts w:ascii="Times New Roman" w:hAnsi="Times New Roman"/>
                <w:sz w:val="15"/>
              </w:rPr>
              <w:t>IV-10</w:t>
            </w:r>
          </w:p>
        </w:tc>
        <w:tc>
          <w:tcPr>
            <w:tcW w:type="dxa" w:w="1134"/>
            <w:vAlign w:val="top"/>
          </w:tcPr>
          <w:p>
            <w:r/>
            <w:r>
              <w:rPr>
                <w:rFonts w:ascii="Times New Roman" w:hAnsi="Times New Roman"/>
                <w:sz w:val="15"/>
              </w:rPr>
              <w:t>Bab IV</w:t>
            </w:r>
          </w:p>
        </w:tc>
        <w:tc>
          <w:tcPr>
            <w:tcW w:type="dxa" w:w="5102"/>
            <w:vAlign w:val="top"/>
          </w:tcPr>
          <w:p>
            <w:r/>
            <w:r>
              <w:rPr>
                <w:rFonts w:ascii="Times New Roman" w:hAnsi="Times New Roman"/>
                <w:sz w:val="15"/>
              </w:rPr>
              <w:t>Inpres Nomor 8 Tahun 2018</w:t>
            </w:r>
          </w:p>
        </w:tc>
        <w:tc>
          <w:tcPr>
            <w:tcW w:type="dxa" w:w="4535"/>
            <w:vAlign w:val="top"/>
          </w:tcPr>
          <w:p>
            <w:r/>
            <w:r>
              <w:rPr>
                <w:rFonts w:ascii="Times New Roman" w:hAnsi="Times New Roman"/>
                <w:sz w:val="15"/>
              </w:rPr>
              <w:t>Moratorium/evaluasi sawit</w:t>
            </w:r>
          </w:p>
        </w:tc>
        <w:tc>
          <w:tcPr>
            <w:tcW w:type="dxa" w:w="1417"/>
            <w:vAlign w:val="top"/>
          </w:tcPr>
          <w:p>
            <w:r/>
            <w:r>
              <w:rPr>
                <w:rFonts w:ascii="Times New Roman" w:hAnsi="Times New Roman"/>
                <w:sz w:val="15"/>
              </w:rPr>
              <w:t>2018</w:t>
            </w:r>
          </w:p>
        </w:tc>
        <w:tc>
          <w:tcPr>
            <w:tcW w:type="dxa" w:w="1701"/>
            <w:vAlign w:val="top"/>
          </w:tcPr>
          <w:p>
            <w:r/>
            <w:r>
              <w:rPr>
                <w:rFonts w:ascii="Times New Roman" w:hAnsi="Times New Roman"/>
                <w:sz w:val="15"/>
              </w:rPr>
              <w:t>Eksplisit/utama</w:t>
            </w:r>
          </w:p>
        </w:tc>
        <w:tc>
          <w:tcPr>
            <w:tcW w:type="dxa" w:w="4535"/>
            <w:vAlign w:val="top"/>
          </w:tcPr>
          <w:p>
            <w:r/>
            <w:hyperlink r:id="rId36">
              <w:r>
                <w:rPr>
                  <w:color w:val="0563C1"/>
                  <w:u w:val="single"/>
                </w:rPr>
                <w:t>https://peraturan.bpk.go.id/Details/92813/inpres-no-8-tahun-2018</w:t>
              </w:r>
            </w:hyperlink>
          </w:p>
        </w:tc>
      </w:tr>
      <w:tr>
        <w:trPr>
          <w:cantSplit/>
        </w:trPr>
        <w:tc>
          <w:tcPr>
            <w:tcW w:type="dxa" w:w="964"/>
            <w:vAlign w:val="top"/>
          </w:tcPr>
          <w:p>
            <w:r/>
            <w:r>
              <w:rPr>
                <w:rFonts w:ascii="Times New Roman" w:hAnsi="Times New Roman"/>
                <w:sz w:val="15"/>
              </w:rPr>
              <w:t>V-02</w:t>
            </w:r>
          </w:p>
        </w:tc>
        <w:tc>
          <w:tcPr>
            <w:tcW w:type="dxa" w:w="1134"/>
            <w:vAlign w:val="top"/>
          </w:tcPr>
          <w:p>
            <w:r/>
            <w:r>
              <w:rPr>
                <w:rFonts w:ascii="Times New Roman" w:hAnsi="Times New Roman"/>
                <w:sz w:val="15"/>
              </w:rPr>
              <w:t>Bab V</w:t>
            </w:r>
          </w:p>
        </w:tc>
        <w:tc>
          <w:tcPr>
            <w:tcW w:type="dxa" w:w="5102"/>
            <w:vAlign w:val="top"/>
          </w:tcPr>
          <w:p>
            <w:r/>
            <w:r>
              <w:rPr>
                <w:rFonts w:ascii="Times New Roman" w:hAnsi="Times New Roman"/>
                <w:sz w:val="15"/>
              </w:rPr>
              <w:t>PMK Nomor 100 Tahun 2025</w:t>
            </w:r>
          </w:p>
        </w:tc>
        <w:tc>
          <w:tcPr>
            <w:tcW w:type="dxa" w:w="4535"/>
            <w:vAlign w:val="top"/>
          </w:tcPr>
          <w:p>
            <w:r/>
            <w:r>
              <w:rPr>
                <w:rFonts w:ascii="Times New Roman" w:hAnsi="Times New Roman"/>
                <w:sz w:val="15"/>
              </w:rPr>
              <w:t>Kebijakan akuntansi pusat/pensiun disclosure</w:t>
            </w:r>
          </w:p>
        </w:tc>
        <w:tc>
          <w:tcPr>
            <w:tcW w:type="dxa" w:w="1417"/>
            <w:vAlign w:val="top"/>
          </w:tcPr>
          <w:p>
            <w:r/>
            <w:r>
              <w:rPr>
                <w:rFonts w:ascii="Times New Roman" w:hAnsi="Times New Roman"/>
                <w:sz w:val="15"/>
              </w:rPr>
              <w:t>2025</w:t>
            </w:r>
          </w:p>
        </w:tc>
        <w:tc>
          <w:tcPr>
            <w:tcW w:type="dxa" w:w="1701"/>
            <w:vAlign w:val="top"/>
          </w:tcPr>
          <w:p>
            <w:r/>
            <w:r>
              <w:rPr>
                <w:rFonts w:ascii="Times New Roman" w:hAnsi="Times New Roman"/>
                <w:sz w:val="15"/>
              </w:rPr>
              <w:t>Eksplisit/utama</w:t>
            </w:r>
          </w:p>
        </w:tc>
        <w:tc>
          <w:tcPr>
            <w:tcW w:type="dxa" w:w="4535"/>
            <w:vAlign w:val="top"/>
          </w:tcPr>
          <w:p>
            <w:r/>
            <w:hyperlink r:id="rId16">
              <w:r>
                <w:rPr>
                  <w:color w:val="0563C1"/>
                  <w:u w:val="single"/>
                </w:rPr>
                <w:t>https://jdih.kemenkeu.go.id/dok/pmk-100-tahun-2025</w:t>
              </w:r>
            </w:hyperlink>
          </w:p>
        </w:tc>
      </w:tr>
      <w:tr>
        <w:trPr>
          <w:cantSplit/>
        </w:trPr>
        <w:tc>
          <w:tcPr>
            <w:tcW w:type="dxa" w:w="964"/>
            <w:vAlign w:val="top"/>
          </w:tcPr>
          <w:p>
            <w:r/>
            <w:r>
              <w:rPr>
                <w:rFonts w:ascii="Times New Roman" w:hAnsi="Times New Roman"/>
                <w:sz w:val="15"/>
              </w:rPr>
              <w:t>VII-01</w:t>
            </w:r>
          </w:p>
        </w:tc>
        <w:tc>
          <w:tcPr>
            <w:tcW w:type="dxa" w:w="1134"/>
            <w:vAlign w:val="top"/>
          </w:tcPr>
          <w:p>
            <w:r/>
            <w:r>
              <w:rPr>
                <w:rFonts w:ascii="Times New Roman" w:hAnsi="Times New Roman"/>
                <w:sz w:val="15"/>
              </w:rPr>
              <w:t>Bab VII</w:t>
            </w:r>
          </w:p>
        </w:tc>
        <w:tc>
          <w:tcPr>
            <w:tcW w:type="dxa" w:w="5102"/>
            <w:vAlign w:val="top"/>
          </w:tcPr>
          <w:p>
            <w:r>
              <w:rPr>
                <w:rFonts w:ascii="Times New Roman" w:hAnsi="Times New Roman"/>
                <w:sz w:val="15"/>
              </w:rPr>
              <w:t>PP Nomor 44 Tahun 2005 tentang Tata Cara Penyertaan dan Penatausahaan Modal Negara pada BUMN dan Perseroan Terbatas sebagaimana diubah dengan PP Nomor 72 Tahun 2016</w:t>
            </w:r>
          </w:p>
        </w:tc>
        <w:tc>
          <w:tcPr>
            <w:tcW w:type="dxa" w:w="4535"/>
            <w:vAlign w:val="top"/>
          </w:tcPr>
          <w:p>
            <w:r/>
            <w:r>
              <w:rPr>
                <w:rFonts w:ascii="Times New Roman" w:hAnsi="Times New Roman"/>
                <w:sz w:val="15"/>
              </w:rPr>
              <w:t>Definisi dan tata cara PMN</w:t>
            </w:r>
          </w:p>
        </w:tc>
        <w:tc>
          <w:tcPr>
            <w:tcW w:type="dxa" w:w="1417"/>
            <w:vAlign w:val="top"/>
          </w:tcPr>
          <w:p>
            <w:r/>
            <w:r>
              <w:rPr>
                <w:rFonts w:ascii="Times New Roman" w:hAnsi="Times New Roman"/>
                <w:sz w:val="15"/>
              </w:rPr>
              <w:t>2005</w:t>
            </w:r>
          </w:p>
        </w:tc>
        <w:tc>
          <w:tcPr>
            <w:tcW w:type="dxa" w:w="1701"/>
            <w:vAlign w:val="top"/>
          </w:tcPr>
          <w:p>
            <w:r/>
            <w:r>
              <w:rPr>
                <w:rFonts w:ascii="Times New Roman" w:hAnsi="Times New Roman"/>
                <w:sz w:val="15"/>
              </w:rPr>
              <w:t>Pendukung primer</w:t>
            </w:r>
          </w:p>
        </w:tc>
        <w:tc>
          <w:tcPr>
            <w:tcW w:type="dxa" w:w="4535"/>
            <w:vAlign w:val="top"/>
          </w:tcPr>
          <w:p>
            <w:r>
              <w:rPr>
                <w:rFonts w:ascii="Times New Roman" w:hAnsi="Times New Roman"/>
                <w:sz w:val="15"/>
              </w:rPr>
              <w:t>https://peraturan.bpk.go.id/Details/49641/pp-no-44-tahun-2005</w:t>
            </w:r>
          </w:p>
        </w:tc>
      </w:tr>
      <w:tr>
        <w:trPr>
          <w:cantSplit/>
        </w:trPr>
        <w:tc>
          <w:tcPr>
            <w:tcW w:type="dxa" w:w="964"/>
            <w:vAlign w:val="top"/>
          </w:tcPr>
          <w:p>
            <w:r/>
            <w:r>
              <w:rPr>
                <w:rFonts w:ascii="Times New Roman" w:hAnsi="Times New Roman"/>
                <w:sz w:val="15"/>
              </w:rPr>
              <w:t>VII-02</w:t>
            </w:r>
          </w:p>
        </w:tc>
        <w:tc>
          <w:tcPr>
            <w:tcW w:type="dxa" w:w="1134"/>
            <w:vAlign w:val="top"/>
          </w:tcPr>
          <w:p>
            <w:r/>
            <w:r>
              <w:rPr>
                <w:rFonts w:ascii="Times New Roman" w:hAnsi="Times New Roman"/>
                <w:sz w:val="15"/>
              </w:rPr>
              <w:t>Bab VII</w:t>
            </w:r>
          </w:p>
        </w:tc>
        <w:tc>
          <w:tcPr>
            <w:tcW w:type="dxa" w:w="5102"/>
            <w:vAlign w:val="top"/>
          </w:tcPr>
          <w:p>
            <w:r/>
            <w:r>
              <w:rPr>
                <w:rFonts w:ascii="Times New Roman" w:hAnsi="Times New Roman"/>
                <w:sz w:val="15"/>
              </w:rPr>
              <w:t>PP Nomor 54 Tahun 2017 tentang BUMD</w:t>
            </w:r>
          </w:p>
        </w:tc>
        <w:tc>
          <w:tcPr>
            <w:tcW w:type="dxa" w:w="4535"/>
            <w:vAlign w:val="top"/>
          </w:tcPr>
          <w:p>
            <w:r/>
            <w:r>
              <w:rPr>
                <w:rFonts w:ascii="Times New Roman" w:hAnsi="Times New Roman"/>
                <w:sz w:val="15"/>
              </w:rPr>
              <w:t>Modal BUMD/PMD</w:t>
            </w:r>
          </w:p>
        </w:tc>
        <w:tc>
          <w:tcPr>
            <w:tcW w:type="dxa" w:w="1417"/>
            <w:vAlign w:val="top"/>
          </w:tcPr>
          <w:p>
            <w:r/>
            <w:r>
              <w:rPr>
                <w:rFonts w:ascii="Times New Roman" w:hAnsi="Times New Roman"/>
                <w:sz w:val="15"/>
              </w:rPr>
              <w:t>2017</w:t>
            </w:r>
          </w:p>
        </w:tc>
        <w:tc>
          <w:tcPr>
            <w:tcW w:type="dxa" w:w="1701"/>
            <w:vAlign w:val="top"/>
          </w:tcPr>
          <w:p>
            <w:r/>
            <w:r>
              <w:rPr>
                <w:rFonts w:ascii="Times New Roman" w:hAnsi="Times New Roman"/>
                <w:sz w:val="15"/>
              </w:rPr>
              <w:t>Eksplisit/utama</w:t>
            </w:r>
          </w:p>
        </w:tc>
        <w:tc>
          <w:tcPr>
            <w:tcW w:type="dxa" w:w="4535"/>
            <w:vAlign w:val="top"/>
          </w:tcPr>
          <w:p>
            <w:r/>
            <w:hyperlink r:id="rId44">
              <w:r>
                <w:rPr>
                  <w:color w:val="0563C1"/>
                  <w:u w:val="single"/>
                </w:rPr>
                <w:t>https://peraturan.bpk.go.id/Details/64765/pp-no-54-tahun-2017</w:t>
              </w:r>
            </w:hyperlink>
          </w:p>
        </w:tc>
      </w:tr>
      <w:tr>
        <w:trPr>
          <w:cantSplit/>
        </w:trPr>
        <w:tc>
          <w:tcPr>
            <w:tcW w:type="dxa" w:w="964"/>
            <w:vAlign w:val="top"/>
          </w:tcPr>
          <w:p>
            <w:r/>
            <w:r>
              <w:rPr>
                <w:rFonts w:ascii="Times New Roman" w:hAnsi="Times New Roman"/>
                <w:sz w:val="15"/>
              </w:rPr>
              <w:t>IX-01</w:t>
            </w:r>
          </w:p>
        </w:tc>
        <w:tc>
          <w:tcPr>
            <w:tcW w:type="dxa" w:w="1134"/>
            <w:vAlign w:val="top"/>
          </w:tcPr>
          <w:p>
            <w:r/>
            <w:r>
              <w:rPr>
                <w:rFonts w:ascii="Times New Roman" w:hAnsi="Times New Roman"/>
                <w:sz w:val="15"/>
              </w:rPr>
              <w:t>Bab IX</w:t>
            </w:r>
          </w:p>
        </w:tc>
        <w:tc>
          <w:tcPr>
            <w:tcW w:type="dxa" w:w="5102"/>
            <w:vAlign w:val="top"/>
          </w:tcPr>
          <w:p>
            <w:r/>
            <w:r>
              <w:rPr>
                <w:rFonts w:ascii="Times New Roman" w:hAnsi="Times New Roman"/>
                <w:sz w:val="15"/>
              </w:rPr>
              <w:t>Perpres Nomor 46 Tahun 2025 jo. Perpres 16/2018</w:t>
            </w:r>
          </w:p>
        </w:tc>
        <w:tc>
          <w:tcPr>
            <w:tcW w:type="dxa" w:w="4535"/>
            <w:vAlign w:val="top"/>
          </w:tcPr>
          <w:p>
            <w:r/>
            <w:r>
              <w:rPr>
                <w:rFonts w:ascii="Times New Roman" w:hAnsi="Times New Roman"/>
                <w:sz w:val="15"/>
              </w:rPr>
              <w:t>Pengadaan Barang/Jasa Pemerintah</w:t>
            </w:r>
          </w:p>
        </w:tc>
        <w:tc>
          <w:tcPr>
            <w:tcW w:type="dxa" w:w="1417"/>
            <w:vAlign w:val="top"/>
          </w:tcPr>
          <w:p>
            <w:r/>
            <w:r>
              <w:rPr>
                <w:rFonts w:ascii="Times New Roman" w:hAnsi="Times New Roman"/>
                <w:sz w:val="15"/>
              </w:rPr>
              <w:t>2025</w:t>
            </w:r>
          </w:p>
        </w:tc>
        <w:tc>
          <w:tcPr>
            <w:tcW w:type="dxa" w:w="1701"/>
            <w:vAlign w:val="top"/>
          </w:tcPr>
          <w:p>
            <w:r/>
            <w:r>
              <w:rPr>
                <w:rFonts w:ascii="Times New Roman" w:hAnsi="Times New Roman"/>
                <w:sz w:val="15"/>
              </w:rPr>
              <w:t>Eksplisit/utama</w:t>
            </w:r>
          </w:p>
        </w:tc>
        <w:tc>
          <w:tcPr>
            <w:tcW w:type="dxa" w:w="4535"/>
            <w:vAlign w:val="top"/>
          </w:tcPr>
          <w:p>
            <w:r/>
            <w:hyperlink r:id="rId46">
              <w:r>
                <w:rPr>
                  <w:color w:val="0563C1"/>
                  <w:u w:val="single"/>
                </w:rPr>
                <w:t>https://jdih.lkpp.go.id/regulation/peraturan-presiden/peraturan-presiden-nomor-46-tahun-2025</w:t>
              </w:r>
            </w:hyperlink>
          </w:p>
        </w:tc>
      </w:tr>
      <w:tr>
        <w:trPr>
          <w:cantSplit/>
        </w:trPr>
        <w:tc>
          <w:tcPr>
            <w:tcW w:type="dxa" w:w="964"/>
            <w:vAlign w:val="top"/>
          </w:tcPr>
          <w:p>
            <w:r/>
            <w:r>
              <w:rPr>
                <w:rFonts w:ascii="Times New Roman" w:hAnsi="Times New Roman"/>
                <w:sz w:val="15"/>
              </w:rPr>
              <w:t>IX-02</w:t>
            </w:r>
          </w:p>
        </w:tc>
        <w:tc>
          <w:tcPr>
            <w:tcW w:type="dxa" w:w="1134"/>
            <w:vAlign w:val="top"/>
          </w:tcPr>
          <w:p>
            <w:r/>
            <w:r>
              <w:rPr>
                <w:rFonts w:ascii="Times New Roman" w:hAnsi="Times New Roman"/>
                <w:sz w:val="15"/>
              </w:rPr>
              <w:t>Bab IX</w:t>
            </w:r>
          </w:p>
        </w:tc>
        <w:tc>
          <w:tcPr>
            <w:tcW w:type="dxa" w:w="5102"/>
            <w:vAlign w:val="top"/>
          </w:tcPr>
          <w:p>
            <w:r/>
            <w:r>
              <w:rPr>
                <w:rFonts w:ascii="Times New Roman" w:hAnsi="Times New Roman"/>
                <w:sz w:val="15"/>
              </w:rPr>
              <w:t>Peraturan LKPP Nomor 2 Tahun 2026</w:t>
            </w:r>
          </w:p>
        </w:tc>
        <w:tc>
          <w:tcPr>
            <w:tcW w:type="dxa" w:w="4535"/>
            <w:vAlign w:val="top"/>
          </w:tcPr>
          <w:p>
            <w:r/>
            <w:r>
              <w:rPr>
                <w:rFonts w:ascii="Times New Roman" w:hAnsi="Times New Roman"/>
                <w:sz w:val="15"/>
              </w:rPr>
              <w:t>Katalog Elektronik</w:t>
            </w:r>
          </w:p>
        </w:tc>
        <w:tc>
          <w:tcPr>
            <w:tcW w:type="dxa" w:w="1417"/>
            <w:vAlign w:val="top"/>
          </w:tcPr>
          <w:p>
            <w:r/>
            <w:r>
              <w:rPr>
                <w:rFonts w:ascii="Times New Roman" w:hAnsi="Times New Roman"/>
                <w:sz w:val="15"/>
              </w:rPr>
              <w:t>2026</w:t>
            </w:r>
          </w:p>
        </w:tc>
        <w:tc>
          <w:tcPr>
            <w:tcW w:type="dxa" w:w="1701"/>
            <w:vAlign w:val="top"/>
          </w:tcPr>
          <w:p>
            <w:r/>
            <w:r>
              <w:rPr>
                <w:rFonts w:ascii="Times New Roman" w:hAnsi="Times New Roman"/>
                <w:sz w:val="15"/>
              </w:rPr>
              <w:t>Eksplisit/utama</w:t>
            </w:r>
          </w:p>
        </w:tc>
        <w:tc>
          <w:tcPr>
            <w:tcW w:type="dxa" w:w="4535"/>
            <w:vAlign w:val="top"/>
          </w:tcPr>
          <w:p>
            <w:r/>
            <w:hyperlink r:id="rId47">
              <w:r>
                <w:rPr>
                  <w:color w:val="0563C1"/>
                  <w:u w:val="single"/>
                </w:rPr>
                <w:t>https://jdih.lkpp.go.id/regulation/peraturan-lkpp/peraturan-lkpp-nomor-2-tahun-2026</w:t>
              </w:r>
            </w:hyperlink>
          </w:p>
        </w:tc>
      </w:tr>
      <w:tr>
        <w:trPr>
          <w:cantSplit/>
        </w:trPr>
        <w:tc>
          <w:tcPr>
            <w:tcW w:type="dxa" w:w="964"/>
            <w:vAlign w:val="top"/>
          </w:tcPr>
          <w:p>
            <w:r/>
            <w:r>
              <w:rPr>
                <w:rFonts w:ascii="Times New Roman" w:hAnsi="Times New Roman"/>
                <w:sz w:val="15"/>
              </w:rPr>
              <w:t>IX-06</w:t>
            </w:r>
          </w:p>
        </w:tc>
        <w:tc>
          <w:tcPr>
            <w:tcW w:type="dxa" w:w="1134"/>
            <w:vAlign w:val="top"/>
          </w:tcPr>
          <w:p>
            <w:r/>
            <w:r>
              <w:rPr>
                <w:rFonts w:ascii="Times New Roman" w:hAnsi="Times New Roman"/>
                <w:sz w:val="15"/>
              </w:rPr>
              <w:t>Bab IX</w:t>
            </w:r>
          </w:p>
        </w:tc>
        <w:tc>
          <w:tcPr>
            <w:tcW w:type="dxa" w:w="5102"/>
            <w:vAlign w:val="top"/>
          </w:tcPr>
          <w:p>
            <w:r/>
            <w:r>
              <w:rPr>
                <w:rFonts w:ascii="Times New Roman" w:hAnsi="Times New Roman"/>
                <w:sz w:val="15"/>
              </w:rPr>
              <w:t>PP Nomor 39 Tahun 2025</w:t>
            </w:r>
          </w:p>
        </w:tc>
        <w:tc>
          <w:tcPr>
            <w:tcW w:type="dxa" w:w="4535"/>
            <w:vAlign w:val="top"/>
          </w:tcPr>
          <w:p>
            <w:r/>
            <w:r>
              <w:rPr>
                <w:rFonts w:ascii="Times New Roman" w:hAnsi="Times New Roman"/>
                <w:sz w:val="15"/>
              </w:rPr>
              <w:t>Pemberian hak minerba</w:t>
            </w:r>
          </w:p>
        </w:tc>
        <w:tc>
          <w:tcPr>
            <w:tcW w:type="dxa" w:w="1417"/>
            <w:vAlign w:val="top"/>
          </w:tcPr>
          <w:p>
            <w:r/>
            <w:r>
              <w:rPr>
                <w:rFonts w:ascii="Times New Roman" w:hAnsi="Times New Roman"/>
                <w:sz w:val="15"/>
              </w:rPr>
              <w:t>2025</w:t>
            </w:r>
          </w:p>
        </w:tc>
        <w:tc>
          <w:tcPr>
            <w:tcW w:type="dxa" w:w="1701"/>
            <w:vAlign w:val="top"/>
          </w:tcPr>
          <w:p>
            <w:r/>
            <w:r>
              <w:rPr>
                <w:rFonts w:ascii="Times New Roman" w:hAnsi="Times New Roman"/>
                <w:sz w:val="15"/>
              </w:rPr>
              <w:t>Eksplisit/utama</w:t>
            </w:r>
          </w:p>
        </w:tc>
        <w:tc>
          <w:tcPr>
            <w:tcW w:type="dxa" w:w="4535"/>
            <w:vAlign w:val="top"/>
          </w:tcPr>
          <w:p>
            <w:r/>
            <w:hyperlink r:id="rId51">
              <w:r>
                <w:rPr>
                  <w:color w:val="0563C1"/>
                  <w:u w:val="single"/>
                </w:rPr>
                <w:t>https://peraturan.bpk.go.id/Details/331105/pp-no-39-tahun-2025</w:t>
              </w:r>
            </w:hyperlink>
          </w:p>
        </w:tc>
      </w:tr>
      <w:tr>
        <w:trPr>
          <w:cantSplit/>
        </w:trPr>
        <w:tc>
          <w:tcPr>
            <w:tcW w:type="dxa" w:w="964"/>
            <w:vAlign w:val="top"/>
          </w:tcPr>
          <w:p>
            <w:r/>
            <w:r>
              <w:rPr>
                <w:rFonts w:ascii="Times New Roman" w:hAnsi="Times New Roman"/>
                <w:sz w:val="15"/>
              </w:rPr>
              <w:t>IX-07</w:t>
            </w:r>
          </w:p>
        </w:tc>
        <w:tc>
          <w:tcPr>
            <w:tcW w:type="dxa" w:w="1134"/>
            <w:vAlign w:val="top"/>
          </w:tcPr>
          <w:p>
            <w:r/>
            <w:r>
              <w:rPr>
                <w:rFonts w:ascii="Times New Roman" w:hAnsi="Times New Roman"/>
                <w:sz w:val="15"/>
              </w:rPr>
              <w:t>Bab IX</w:t>
            </w:r>
          </w:p>
        </w:tc>
        <w:tc>
          <w:tcPr>
            <w:tcW w:type="dxa" w:w="5102"/>
            <w:vAlign w:val="top"/>
          </w:tcPr>
          <w:p>
            <w:r/>
            <w:r>
              <w:rPr>
                <w:rFonts w:ascii="Times New Roman" w:hAnsi="Times New Roman"/>
                <w:sz w:val="15"/>
              </w:rPr>
              <w:t>Perpres Nomor 13 Tahun 2018</w:t>
            </w:r>
          </w:p>
        </w:tc>
        <w:tc>
          <w:tcPr>
            <w:tcW w:type="dxa" w:w="4535"/>
            <w:vAlign w:val="top"/>
          </w:tcPr>
          <w:p>
            <w:r/>
            <w:r>
              <w:rPr>
                <w:rFonts w:ascii="Times New Roman" w:hAnsi="Times New Roman"/>
                <w:sz w:val="15"/>
              </w:rPr>
              <w:t>Beneficial ownership</w:t>
            </w:r>
          </w:p>
        </w:tc>
        <w:tc>
          <w:tcPr>
            <w:tcW w:type="dxa" w:w="1417"/>
            <w:vAlign w:val="top"/>
          </w:tcPr>
          <w:p>
            <w:r/>
            <w:r>
              <w:rPr>
                <w:rFonts w:ascii="Times New Roman" w:hAnsi="Times New Roman"/>
                <w:sz w:val="15"/>
              </w:rPr>
              <w:t>2018</w:t>
            </w:r>
          </w:p>
        </w:tc>
        <w:tc>
          <w:tcPr>
            <w:tcW w:type="dxa" w:w="1701"/>
            <w:vAlign w:val="top"/>
          </w:tcPr>
          <w:p>
            <w:r/>
            <w:r>
              <w:rPr>
                <w:rFonts w:ascii="Times New Roman" w:hAnsi="Times New Roman"/>
                <w:sz w:val="15"/>
              </w:rPr>
              <w:t>Eksplisit/utama</w:t>
            </w:r>
          </w:p>
        </w:tc>
        <w:tc>
          <w:tcPr>
            <w:tcW w:type="dxa" w:w="4535"/>
            <w:vAlign w:val="top"/>
          </w:tcPr>
          <w:p>
            <w:r/>
            <w:hyperlink r:id="rId52">
              <w:r>
                <w:rPr>
                  <w:color w:val="0563C1"/>
                  <w:u w:val="single"/>
                </w:rPr>
                <w:t>https://peraturan.bpk.go.id/Details/73583/perpres-no-13-tahun-2018</w:t>
              </w:r>
            </w:hyperlink>
          </w:p>
        </w:tc>
      </w:tr>
      <w:tr>
        <w:trPr>
          <w:cantSplit/>
        </w:trPr>
        <w:tc>
          <w:tcPr>
            <w:tcW w:type="dxa" w:w="964"/>
            <w:vAlign w:val="top"/>
          </w:tcPr>
          <w:p>
            <w:r/>
            <w:r>
              <w:rPr>
                <w:rFonts w:ascii="Times New Roman" w:hAnsi="Times New Roman"/>
                <w:sz w:val="15"/>
              </w:rPr>
              <w:t>X-01</w:t>
            </w:r>
          </w:p>
        </w:tc>
        <w:tc>
          <w:tcPr>
            <w:tcW w:type="dxa" w:w="1134"/>
            <w:vAlign w:val="top"/>
          </w:tcPr>
          <w:p>
            <w:r/>
            <w:r>
              <w:rPr>
                <w:rFonts w:ascii="Times New Roman" w:hAnsi="Times New Roman"/>
                <w:sz w:val="15"/>
              </w:rPr>
              <w:t>Bab X</w:t>
            </w:r>
          </w:p>
        </w:tc>
        <w:tc>
          <w:tcPr>
            <w:tcW w:type="dxa" w:w="5102"/>
            <w:vAlign w:val="top"/>
          </w:tcPr>
          <w:p>
            <w:r/>
            <w:r>
              <w:rPr>
                <w:rFonts w:ascii="Times New Roman" w:hAnsi="Times New Roman"/>
                <w:sz w:val="15"/>
              </w:rPr>
              <w:t>UU Nomor 1 Tahun 2023 tentang KUHP</w:t>
            </w:r>
          </w:p>
        </w:tc>
        <w:tc>
          <w:tcPr>
            <w:tcW w:type="dxa" w:w="4535"/>
            <w:vAlign w:val="top"/>
          </w:tcPr>
          <w:p>
            <w:r/>
            <w:r>
              <w:rPr>
                <w:rFonts w:ascii="Times New Roman" w:hAnsi="Times New Roman"/>
                <w:sz w:val="15"/>
              </w:rPr>
              <w:t>KUHP Nasional</w:t>
            </w:r>
          </w:p>
        </w:tc>
        <w:tc>
          <w:tcPr>
            <w:tcW w:type="dxa" w:w="1417"/>
            <w:vAlign w:val="top"/>
          </w:tcPr>
          <w:p>
            <w:r/>
            <w:r>
              <w:rPr>
                <w:rFonts w:ascii="Times New Roman" w:hAnsi="Times New Roman"/>
                <w:sz w:val="15"/>
              </w:rPr>
              <w:t>2023/berlaku 2026</w:t>
            </w:r>
          </w:p>
        </w:tc>
        <w:tc>
          <w:tcPr>
            <w:tcW w:type="dxa" w:w="1701"/>
            <w:vAlign w:val="top"/>
          </w:tcPr>
          <w:p>
            <w:r/>
            <w:r>
              <w:rPr>
                <w:rFonts w:ascii="Times New Roman" w:hAnsi="Times New Roman"/>
                <w:sz w:val="15"/>
              </w:rPr>
              <w:t>Eksplisit/utama</w:t>
            </w:r>
          </w:p>
        </w:tc>
        <w:tc>
          <w:tcPr>
            <w:tcW w:type="dxa" w:w="4535"/>
            <w:vAlign w:val="top"/>
          </w:tcPr>
          <w:p>
            <w:r/>
            <w:hyperlink r:id="rId53">
              <w:r>
                <w:rPr>
                  <w:color w:val="0563C1"/>
                  <w:u w:val="single"/>
                </w:rPr>
                <w:t>https://peraturan.bpk.go.id/Details/234935/uu-no-1-tahun-2023</w:t>
              </w:r>
            </w:hyperlink>
          </w:p>
        </w:tc>
      </w:tr>
      <w:tr>
        <w:trPr>
          <w:cantSplit/>
        </w:trPr>
        <w:tc>
          <w:tcPr>
            <w:tcW w:type="dxa" w:w="964"/>
            <w:vAlign w:val="top"/>
          </w:tcPr>
          <w:p>
            <w:r/>
            <w:r>
              <w:rPr>
                <w:rFonts w:ascii="Times New Roman" w:hAnsi="Times New Roman"/>
                <w:sz w:val="15"/>
              </w:rPr>
              <w:t>X-02</w:t>
            </w:r>
          </w:p>
        </w:tc>
        <w:tc>
          <w:tcPr>
            <w:tcW w:type="dxa" w:w="1134"/>
            <w:vAlign w:val="top"/>
          </w:tcPr>
          <w:p>
            <w:r/>
            <w:r>
              <w:rPr>
                <w:rFonts w:ascii="Times New Roman" w:hAnsi="Times New Roman"/>
                <w:sz w:val="15"/>
              </w:rPr>
              <w:t>Bab X</w:t>
            </w:r>
          </w:p>
        </w:tc>
        <w:tc>
          <w:tcPr>
            <w:tcW w:type="dxa" w:w="5102"/>
            <w:vAlign w:val="top"/>
          </w:tcPr>
          <w:p>
            <w:r/>
            <w:r>
              <w:rPr>
                <w:rFonts w:ascii="Times New Roman" w:hAnsi="Times New Roman"/>
                <w:sz w:val="15"/>
              </w:rPr>
              <w:t>UU Nomor 1 Tahun 2026 tentang Penyesuaian Pidana</w:t>
            </w:r>
          </w:p>
        </w:tc>
        <w:tc>
          <w:tcPr>
            <w:tcW w:type="dxa" w:w="4535"/>
            <w:vAlign w:val="top"/>
          </w:tcPr>
          <w:p>
            <w:r/>
            <w:r>
              <w:rPr>
                <w:rFonts w:ascii="Times New Roman" w:hAnsi="Times New Roman"/>
                <w:sz w:val="15"/>
              </w:rPr>
              <w:t>Penyesuaian pidana</w:t>
            </w:r>
          </w:p>
        </w:tc>
        <w:tc>
          <w:tcPr>
            <w:tcW w:type="dxa" w:w="1417"/>
            <w:vAlign w:val="top"/>
          </w:tcPr>
          <w:p>
            <w:r/>
            <w:r>
              <w:rPr>
                <w:rFonts w:ascii="Times New Roman" w:hAnsi="Times New Roman"/>
                <w:sz w:val="15"/>
              </w:rPr>
              <w:t>2026</w:t>
            </w:r>
          </w:p>
        </w:tc>
        <w:tc>
          <w:tcPr>
            <w:tcW w:type="dxa" w:w="1701"/>
            <w:vAlign w:val="top"/>
          </w:tcPr>
          <w:p>
            <w:r/>
            <w:r>
              <w:rPr>
                <w:rFonts w:ascii="Times New Roman" w:hAnsi="Times New Roman"/>
                <w:sz w:val="15"/>
              </w:rPr>
              <w:t>Eksplisit/utama</w:t>
            </w:r>
          </w:p>
        </w:tc>
        <w:tc>
          <w:tcPr>
            <w:tcW w:type="dxa" w:w="4535"/>
            <w:vAlign w:val="top"/>
          </w:tcPr>
          <w:p>
            <w:r/>
            <w:hyperlink r:id="rId54">
              <w:r>
                <w:rPr>
                  <w:color w:val="0563C1"/>
                  <w:u w:val="single"/>
                </w:rPr>
                <w:t>https://peraturan.bpk.go.id/Details/337869/uu-no-1-tahun-2026</w:t>
              </w:r>
            </w:hyperlink>
          </w:p>
        </w:tc>
      </w:tr>
      <w:tr>
        <w:trPr>
          <w:cantSplit/>
        </w:trPr>
        <w:tc>
          <w:tcPr>
            <w:tcW w:type="dxa" w:w="964"/>
            <w:vAlign w:val="top"/>
          </w:tcPr>
          <w:p>
            <w:r/>
            <w:r>
              <w:rPr>
                <w:rFonts w:ascii="Times New Roman" w:hAnsi="Times New Roman"/>
                <w:sz w:val="15"/>
              </w:rPr>
              <w:t>X-03</w:t>
            </w:r>
          </w:p>
        </w:tc>
        <w:tc>
          <w:tcPr>
            <w:tcW w:type="dxa" w:w="1134"/>
            <w:vAlign w:val="top"/>
          </w:tcPr>
          <w:p>
            <w:r/>
            <w:r>
              <w:rPr>
                <w:rFonts w:ascii="Times New Roman" w:hAnsi="Times New Roman"/>
                <w:sz w:val="15"/>
              </w:rPr>
              <w:t>Bab X</w:t>
            </w:r>
          </w:p>
        </w:tc>
        <w:tc>
          <w:tcPr>
            <w:tcW w:type="dxa" w:w="5102"/>
            <w:vAlign w:val="top"/>
          </w:tcPr>
          <w:p>
            <w:r/>
            <w:r>
              <w:rPr>
                <w:rFonts w:ascii="Times New Roman" w:hAnsi="Times New Roman"/>
                <w:sz w:val="15"/>
              </w:rPr>
              <w:t>UU Nomor 31 Tahun 1999 jo. UU Nomor 20 Tahun 2001</w:t>
            </w:r>
          </w:p>
        </w:tc>
        <w:tc>
          <w:tcPr>
            <w:tcW w:type="dxa" w:w="4535"/>
            <w:vAlign w:val="top"/>
          </w:tcPr>
          <w:p>
            <w:r/>
            <w:r>
              <w:rPr>
                <w:rFonts w:ascii="Times New Roman" w:hAnsi="Times New Roman"/>
                <w:sz w:val="15"/>
              </w:rPr>
              <w:t>Pemberantasan Tipikor</w:t>
            </w:r>
          </w:p>
        </w:tc>
        <w:tc>
          <w:tcPr>
            <w:tcW w:type="dxa" w:w="1417"/>
            <w:vAlign w:val="top"/>
          </w:tcPr>
          <w:p>
            <w:r/>
            <w:r>
              <w:rPr>
                <w:rFonts w:ascii="Times New Roman" w:hAnsi="Times New Roman"/>
                <w:sz w:val="15"/>
              </w:rPr>
              <w:t>1999/2001</w:t>
            </w:r>
          </w:p>
        </w:tc>
        <w:tc>
          <w:tcPr>
            <w:tcW w:type="dxa" w:w="1701"/>
            <w:vAlign w:val="top"/>
          </w:tcPr>
          <w:p>
            <w:r/>
            <w:r>
              <w:rPr>
                <w:rFonts w:ascii="Times New Roman" w:hAnsi="Times New Roman"/>
                <w:sz w:val="15"/>
              </w:rPr>
              <w:t>Eksplisit/utama</w:t>
            </w:r>
          </w:p>
        </w:tc>
        <w:tc>
          <w:tcPr>
            <w:tcW w:type="dxa" w:w="4535"/>
            <w:vAlign w:val="top"/>
          </w:tcPr>
          <w:p>
            <w:r/>
            <w:hyperlink r:id="rId55">
              <w:r>
                <w:rPr>
                  <w:color w:val="0563C1"/>
                  <w:u w:val="single"/>
                </w:rPr>
                <w:t>https://peraturan.bpk.go.id/Details/45350/uu-no-31-tahun-1999</w:t>
              </w:r>
            </w:hyperlink>
          </w:p>
        </w:tc>
      </w:tr>
      <w:tr>
        <w:trPr>
          <w:cantSplit/>
        </w:trPr>
        <w:tc>
          <w:tcPr>
            <w:tcW w:type="dxa" w:w="964"/>
            <w:vAlign w:val="top"/>
          </w:tcPr>
          <w:p>
            <w:r/>
            <w:r>
              <w:rPr>
                <w:rFonts w:ascii="Times New Roman" w:hAnsi="Times New Roman"/>
                <w:sz w:val="15"/>
              </w:rPr>
              <w:t>X-04</w:t>
            </w:r>
          </w:p>
        </w:tc>
        <w:tc>
          <w:tcPr>
            <w:tcW w:type="dxa" w:w="1134"/>
            <w:vAlign w:val="top"/>
          </w:tcPr>
          <w:p>
            <w:r/>
            <w:r>
              <w:rPr>
                <w:rFonts w:ascii="Times New Roman" w:hAnsi="Times New Roman"/>
                <w:sz w:val="15"/>
              </w:rPr>
              <w:t>Bab X</w:t>
            </w:r>
          </w:p>
        </w:tc>
        <w:tc>
          <w:tcPr>
            <w:tcW w:type="dxa" w:w="5102"/>
            <w:vAlign w:val="top"/>
          </w:tcPr>
          <w:p>
            <w:r/>
            <w:r>
              <w:rPr>
                <w:rFonts w:ascii="Times New Roman" w:hAnsi="Times New Roman"/>
                <w:sz w:val="15"/>
              </w:rPr>
              <w:t>UU Nomor 3 Tahun 2026 tentang Pelindungan Saksi dan Korban</w:t>
            </w:r>
          </w:p>
        </w:tc>
        <w:tc>
          <w:tcPr>
            <w:tcW w:type="dxa" w:w="4535"/>
            <w:vAlign w:val="top"/>
          </w:tcPr>
          <w:p>
            <w:r/>
            <w:r>
              <w:rPr>
                <w:rFonts w:ascii="Times New Roman" w:hAnsi="Times New Roman"/>
                <w:sz w:val="15"/>
              </w:rPr>
              <w:t>Pelindungan saksi dan korban</w:t>
            </w:r>
          </w:p>
        </w:tc>
        <w:tc>
          <w:tcPr>
            <w:tcW w:type="dxa" w:w="1417"/>
            <w:vAlign w:val="top"/>
          </w:tcPr>
          <w:p>
            <w:r/>
            <w:r>
              <w:rPr>
                <w:rFonts w:ascii="Times New Roman" w:hAnsi="Times New Roman"/>
                <w:sz w:val="15"/>
              </w:rPr>
              <w:t>2026</w:t>
            </w:r>
          </w:p>
        </w:tc>
        <w:tc>
          <w:tcPr>
            <w:tcW w:type="dxa" w:w="1701"/>
            <w:vAlign w:val="top"/>
          </w:tcPr>
          <w:p>
            <w:r/>
            <w:r>
              <w:rPr>
                <w:rFonts w:ascii="Times New Roman" w:hAnsi="Times New Roman"/>
                <w:sz w:val="15"/>
              </w:rPr>
              <w:t>Eksplisit/utama</w:t>
            </w:r>
          </w:p>
        </w:tc>
        <w:tc>
          <w:tcPr>
            <w:tcW w:type="dxa" w:w="4535"/>
            <w:vAlign w:val="top"/>
          </w:tcPr>
          <w:p>
            <w:r/>
            <w:hyperlink r:id="rId56">
              <w:r>
                <w:rPr>
                  <w:color w:val="0563C1"/>
                  <w:u w:val="single"/>
                </w:rPr>
                <w:t>https://peraturan.bpk.go.id/Details/349942/uu-no-3-tahun-2026</w:t>
              </w:r>
            </w:hyperlink>
          </w:p>
        </w:tc>
      </w:tr>
    </w:tbl>
    <w:p>
      <w:pPr>
        <w:pStyle w:val="Heading1"/>
      </w:pPr>
      <w:r>
        <w:t>SOURCE MAP - DARI KLAIM KE BUKTI</w:t>
      </w:r>
    </w:p>
    <w:tbl>
      <w:tblPr>
        <w:tblStyle w:val="TableGrid"/>
        <w:tblW w:type="auto" w:w="0"/>
        <w:jc w:val="center"/>
        <w:tblLook w:firstColumn="1" w:firstRow="1" w:lastColumn="0" w:lastRow="0" w:noHBand="0" w:noVBand="1" w:val="04A0"/>
      </w:tblPr>
      <w:tblGrid>
        <w:gridCol w:w="3869"/>
        <w:gridCol w:w="3869"/>
        <w:gridCol w:w="3869"/>
        <w:gridCol w:w="3869"/>
      </w:tblGrid>
      <w:tr>
        <w:tc>
          <w:tcPr>
            <w:tcW w:type="dxa" w:w="2835"/>
            <w:shd w:fill="D9EAF7"/>
            <w:vAlign w:val="center"/>
          </w:tcPr>
          <w:p>
            <w:pPr>
              <w:jc w:val="center"/>
            </w:pPr>
            <w:r>
              <w:rPr>
                <w:rFonts w:ascii="Times New Roman" w:hAnsi="Times New Roman"/>
                <w:b/>
                <w:sz w:val="17"/>
              </w:rPr>
              <w:t>Jenis klaim</w:t>
            </w:r>
          </w:p>
        </w:tc>
        <w:tc>
          <w:tcPr>
            <w:tcW w:type="dxa" w:w="4535"/>
            <w:shd w:fill="D9EAF7"/>
            <w:vAlign w:val="center"/>
          </w:tcPr>
          <w:p>
            <w:pPr>
              <w:jc w:val="center"/>
            </w:pPr>
            <w:r>
              <w:rPr>
                <w:rFonts w:ascii="Times New Roman" w:hAnsi="Times New Roman"/>
                <w:b/>
                <w:sz w:val="17"/>
              </w:rPr>
              <w:t>Sumber yang diprioritaskan</w:t>
            </w:r>
          </w:p>
        </w:tc>
        <w:tc>
          <w:tcPr>
            <w:tcW w:type="dxa" w:w="5102"/>
            <w:shd w:fill="D9EAF7"/>
            <w:vAlign w:val="center"/>
          </w:tcPr>
          <w:p>
            <w:pPr>
              <w:jc w:val="center"/>
            </w:pPr>
            <w:r>
              <w:rPr>
                <w:rFonts w:ascii="Times New Roman" w:hAnsi="Times New Roman"/>
                <w:b/>
                <w:sz w:val="17"/>
              </w:rPr>
              <w:t>Cara tampil di portal</w:t>
            </w:r>
          </w:p>
        </w:tc>
        <w:tc>
          <w:tcPr>
            <w:tcW w:type="dxa" w:w="3402"/>
            <w:shd w:fill="D9EAF7"/>
            <w:vAlign w:val="center"/>
          </w:tcPr>
          <w:p>
            <w:pPr>
              <w:jc w:val="center"/>
            </w:pPr>
            <w:r>
              <w:rPr>
                <w:rFonts w:ascii="Times New Roman" w:hAnsi="Times New Roman"/>
                <w:b/>
                <w:sz w:val="17"/>
              </w:rPr>
              <w:t>Pembaruan</w:t>
            </w:r>
          </w:p>
        </w:tc>
      </w:tr>
      <w:tr>
        <w:trPr>
          <w:cantSplit/>
        </w:trPr>
        <w:tc>
          <w:tcPr>
            <w:tcW w:type="dxa" w:w="2835"/>
            <w:vAlign w:val="top"/>
          </w:tcPr>
          <w:p>
            <w:r/>
            <w:r>
              <w:rPr>
                <w:rFonts w:ascii="Times New Roman" w:hAnsi="Times New Roman"/>
                <w:sz w:val="17"/>
              </w:rPr>
              <w:t>Angka fiskal/keuangan resmi</w:t>
            </w:r>
          </w:p>
        </w:tc>
        <w:tc>
          <w:tcPr>
            <w:tcW w:type="dxa" w:w="4535"/>
            <w:vAlign w:val="top"/>
          </w:tcPr>
          <w:p>
            <w:r/>
            <w:r>
              <w:rPr>
                <w:rFonts w:ascii="Times New Roman" w:hAnsi="Times New Roman"/>
                <w:sz w:val="17"/>
              </w:rPr>
              <w:t>Kemenkeu, BPK, Pemda, BPS, ESDM, Kemenko</w:t>
            </w:r>
          </w:p>
        </w:tc>
        <w:tc>
          <w:tcPr>
            <w:tcW w:type="dxa" w:w="5102"/>
            <w:vAlign w:val="top"/>
          </w:tcPr>
          <w:p>
            <w:r/>
            <w:r>
              <w:rPr>
                <w:rFonts w:ascii="Times New Roman" w:hAnsi="Times New Roman"/>
                <w:sz w:val="17"/>
              </w:rPr>
              <w:t>Tabel + periode + source note + URL primer</w:t>
            </w:r>
          </w:p>
        </w:tc>
        <w:tc>
          <w:tcPr>
            <w:tcW w:type="dxa" w:w="3402"/>
            <w:vAlign w:val="top"/>
          </w:tcPr>
          <w:p>
            <w:r/>
            <w:r>
              <w:rPr>
                <w:rFonts w:ascii="Times New Roman" w:hAnsi="Times New Roman"/>
                <w:sz w:val="17"/>
              </w:rPr>
              <w:t>Update jika seri resmi berubah/revisi</w:t>
            </w:r>
          </w:p>
        </w:tc>
      </w:tr>
      <w:tr>
        <w:trPr>
          <w:cantSplit/>
        </w:trPr>
        <w:tc>
          <w:tcPr>
            <w:tcW w:type="dxa" w:w="2835"/>
            <w:vAlign w:val="top"/>
          </w:tcPr>
          <w:p>
            <w:r/>
            <w:r>
              <w:rPr>
                <w:rFonts w:ascii="Times New Roman" w:hAnsi="Times New Roman"/>
                <w:sz w:val="17"/>
              </w:rPr>
              <w:t>Ketentuan hukum</w:t>
            </w:r>
          </w:p>
        </w:tc>
        <w:tc>
          <w:tcPr>
            <w:tcW w:type="dxa" w:w="4535"/>
            <w:vAlign w:val="top"/>
          </w:tcPr>
          <w:p>
            <w:r/>
            <w:r>
              <w:rPr>
                <w:rFonts w:ascii="Times New Roman" w:hAnsi="Times New Roman"/>
                <w:sz w:val="17"/>
              </w:rPr>
              <w:t>JDIH BPK/JDIH Kemenkeu/JDIH LKPP/JDIH Pemda</w:t>
            </w:r>
          </w:p>
        </w:tc>
        <w:tc>
          <w:tcPr>
            <w:tcW w:type="dxa" w:w="5102"/>
            <w:vAlign w:val="top"/>
          </w:tcPr>
          <w:p>
            <w:r/>
            <w:r>
              <w:rPr>
                <w:rFonts w:ascii="Times New Roman" w:hAnsi="Times New Roman"/>
                <w:sz w:val="17"/>
              </w:rPr>
              <w:t>Nomor, judul, status, tanggal berlaku, URL</w:t>
            </w:r>
          </w:p>
        </w:tc>
        <w:tc>
          <w:tcPr>
            <w:tcW w:type="dxa" w:w="3402"/>
            <w:vAlign w:val="top"/>
          </w:tcPr>
          <w:p>
            <w:r/>
            <w:r>
              <w:rPr>
                <w:rFonts w:ascii="Times New Roman" w:hAnsi="Times New Roman"/>
                <w:sz w:val="17"/>
              </w:rPr>
              <w:t>Cek status perubahan/pencabutan</w:t>
            </w:r>
          </w:p>
        </w:tc>
      </w:tr>
      <w:tr>
        <w:trPr>
          <w:cantSplit/>
        </w:trPr>
        <w:tc>
          <w:tcPr>
            <w:tcW w:type="dxa" w:w="2835"/>
            <w:vAlign w:val="top"/>
          </w:tcPr>
          <w:p>
            <w:r/>
            <w:r>
              <w:rPr>
                <w:rFonts w:ascii="Times New Roman" w:hAnsi="Times New Roman"/>
                <w:sz w:val="17"/>
              </w:rPr>
              <w:t>Konsep akademik/internasional</w:t>
            </w:r>
          </w:p>
        </w:tc>
        <w:tc>
          <w:tcPr>
            <w:tcW w:type="dxa" w:w="4535"/>
            <w:vAlign w:val="top"/>
          </w:tcPr>
          <w:p>
            <w:r/>
            <w:r>
              <w:rPr>
                <w:rFonts w:ascii="Times New Roman" w:hAnsi="Times New Roman"/>
                <w:sz w:val="17"/>
              </w:rPr>
              <w:t>Karya asli/standar resmi (Moore, Hartwick, OECD, IMF, IPSASB)</w:t>
            </w:r>
          </w:p>
        </w:tc>
        <w:tc>
          <w:tcPr>
            <w:tcW w:type="dxa" w:w="5102"/>
            <w:vAlign w:val="top"/>
          </w:tcPr>
          <w:p>
            <w:r/>
            <w:r>
              <w:rPr>
                <w:rFonts w:ascii="Times New Roman" w:hAnsi="Times New Roman"/>
                <w:sz w:val="17"/>
              </w:rPr>
              <w:t>Citation lengkap + batas penerapan di Indonesia</w:t>
            </w:r>
          </w:p>
        </w:tc>
        <w:tc>
          <w:tcPr>
            <w:tcW w:type="dxa" w:w="3402"/>
            <w:vAlign w:val="top"/>
          </w:tcPr>
          <w:p>
            <w:r/>
            <w:r>
              <w:rPr>
                <w:rFonts w:ascii="Times New Roman" w:hAnsi="Times New Roman"/>
                <w:sz w:val="17"/>
              </w:rPr>
              <w:t>Update jika standar berubah</w:t>
            </w:r>
          </w:p>
        </w:tc>
      </w:tr>
      <w:tr>
        <w:trPr>
          <w:cantSplit/>
        </w:trPr>
        <w:tc>
          <w:tcPr>
            <w:tcW w:type="dxa" w:w="2835"/>
            <w:vAlign w:val="top"/>
          </w:tcPr>
          <w:p>
            <w:r/>
            <w:r>
              <w:rPr>
                <w:rFonts w:ascii="Times New Roman" w:hAnsi="Times New Roman"/>
                <w:sz w:val="17"/>
              </w:rPr>
              <w:t>Framework penulis</w:t>
            </w:r>
          </w:p>
        </w:tc>
        <w:tc>
          <w:tcPr>
            <w:tcW w:type="dxa" w:w="4535"/>
            <w:vAlign w:val="top"/>
          </w:tcPr>
          <w:p>
            <w:r/>
            <w:r>
              <w:rPr>
                <w:rFonts w:ascii="Times New Roman" w:hAnsi="Times New Roman"/>
                <w:sz w:val="17"/>
              </w:rPr>
              <w:t>Buku dan Digital Companion</w:t>
            </w:r>
          </w:p>
        </w:tc>
        <w:tc>
          <w:tcPr>
            <w:tcW w:type="dxa" w:w="5102"/>
            <w:vAlign w:val="top"/>
          </w:tcPr>
          <w:p>
            <w:r/>
            <w:r>
              <w:rPr>
                <w:rFonts w:ascii="Times New Roman" w:hAnsi="Times New Roman"/>
                <w:sz w:val="17"/>
              </w:rPr>
              <w:t>Formula/template + methodological note</w:t>
            </w:r>
          </w:p>
        </w:tc>
        <w:tc>
          <w:tcPr>
            <w:tcW w:type="dxa" w:w="3402"/>
            <w:vAlign w:val="top"/>
          </w:tcPr>
          <w:p>
            <w:r/>
            <w:r>
              <w:rPr>
                <w:rFonts w:ascii="Times New Roman" w:hAnsi="Times New Roman"/>
                <w:sz w:val="17"/>
              </w:rPr>
              <w:t>Tidak diubah diam-diam bila mengubah tesis</w:t>
            </w:r>
          </w:p>
        </w:tc>
      </w:tr>
      <w:tr>
        <w:trPr>
          <w:cantSplit/>
        </w:trPr>
        <w:tc>
          <w:tcPr>
            <w:tcW w:type="dxa" w:w="2835"/>
            <w:vAlign w:val="top"/>
          </w:tcPr>
          <w:p>
            <w:r/>
            <w:r>
              <w:rPr>
                <w:rFonts w:ascii="Times New Roman" w:hAnsi="Times New Roman"/>
                <w:sz w:val="17"/>
              </w:rPr>
              <w:t>Ilustrasi anonimisasi</w:t>
            </w:r>
          </w:p>
        </w:tc>
        <w:tc>
          <w:tcPr>
            <w:tcW w:type="dxa" w:w="4535"/>
            <w:vAlign w:val="top"/>
          </w:tcPr>
          <w:p>
            <w:r/>
            <w:r>
              <w:rPr>
                <w:rFonts w:ascii="Times New Roman" w:hAnsi="Times New Roman"/>
                <w:sz w:val="17"/>
              </w:rPr>
              <w:t>Hanya angka versi buku final</w:t>
            </w:r>
          </w:p>
        </w:tc>
        <w:tc>
          <w:tcPr>
            <w:tcW w:type="dxa" w:w="5102"/>
            <w:vAlign w:val="top"/>
          </w:tcPr>
          <w:p>
            <w:r/>
            <w:r>
              <w:rPr>
                <w:rFonts w:ascii="Times New Roman" w:hAnsi="Times New Roman"/>
                <w:sz w:val="17"/>
              </w:rPr>
              <w:t>Label ILLUSTRATIVE; tidak ada link ke institusi</w:t>
            </w:r>
          </w:p>
        </w:tc>
        <w:tc>
          <w:tcPr>
            <w:tcW w:type="dxa" w:w="3402"/>
            <w:vAlign w:val="top"/>
          </w:tcPr>
          <w:p>
            <w:r/>
            <w:r>
              <w:rPr>
                <w:rFonts w:ascii="Times New Roman" w:hAnsi="Times New Roman"/>
                <w:sz w:val="17"/>
              </w:rPr>
              <w:t>Tidak reverse-engineer; angka asli tidak disimpan</w:t>
            </w:r>
          </w:p>
        </w:tc>
      </w:tr>
    </w:tbl>
    <w:p>
      <w:pPr>
        <w:pStyle w:val="Heading1"/>
      </w:pPr>
      <w:r>
        <w:t>MASTER REFERENCES</w:t>
      </w:r>
    </w:p>
    <w:tbl>
      <w:tblPr>
        <w:tblStyle w:val="TableGrid"/>
        <w:tblW w:type="auto" w:w="0"/>
        <w:jc w:val="center"/>
        <w:tblLook w:firstColumn="1" w:firstRow="1" w:lastColumn="0" w:lastRow="0" w:noHBand="0" w:noVBand="1" w:val="04A0"/>
      </w:tblPr>
      <w:tblGrid>
        <w:gridCol w:w="2211"/>
        <w:gridCol w:w="2211"/>
        <w:gridCol w:w="2211"/>
        <w:gridCol w:w="2211"/>
        <w:gridCol w:w="2211"/>
        <w:gridCol w:w="2211"/>
        <w:gridCol w:w="2211"/>
      </w:tblGrid>
      <w:tr>
        <w:tc>
          <w:tcPr>
            <w:tcW w:type="dxa" w:w="964"/>
            <w:shd w:fill="D9EAF7"/>
            <w:vAlign w:val="center"/>
          </w:tcPr>
          <w:p>
            <w:pPr>
              <w:jc w:val="center"/>
            </w:pPr>
            <w:r>
              <w:rPr>
                <w:rFonts w:ascii="Times New Roman" w:hAnsi="Times New Roman"/>
                <w:b/>
                <w:sz w:val="14"/>
              </w:rPr>
              <w:t>Kode</w:t>
            </w:r>
          </w:p>
        </w:tc>
        <w:tc>
          <w:tcPr>
            <w:tcW w:type="dxa" w:w="1134"/>
            <w:shd w:fill="D9EAF7"/>
            <w:vAlign w:val="center"/>
          </w:tcPr>
          <w:p>
            <w:pPr>
              <w:jc w:val="center"/>
            </w:pPr>
            <w:r>
              <w:rPr>
                <w:rFonts w:ascii="Times New Roman" w:hAnsi="Times New Roman"/>
                <w:b/>
                <w:sz w:val="14"/>
              </w:rPr>
              <w:t>Bab</w:t>
            </w:r>
          </w:p>
        </w:tc>
        <w:tc>
          <w:tcPr>
            <w:tcW w:type="dxa" w:w="5102"/>
            <w:shd w:fill="D9EAF7"/>
            <w:vAlign w:val="center"/>
          </w:tcPr>
          <w:p>
            <w:pPr>
              <w:jc w:val="center"/>
            </w:pPr>
            <w:r>
              <w:rPr>
                <w:rFonts w:ascii="Times New Roman" w:hAnsi="Times New Roman"/>
                <w:b/>
                <w:sz w:val="14"/>
              </w:rPr>
              <w:t>Referensi</w:t>
            </w:r>
          </w:p>
        </w:tc>
        <w:tc>
          <w:tcPr>
            <w:tcW w:type="dxa" w:w="1984"/>
            <w:shd w:fill="D9EAF7"/>
            <w:vAlign w:val="center"/>
          </w:tcPr>
          <w:p>
            <w:pPr>
              <w:jc w:val="center"/>
            </w:pPr>
            <w:r>
              <w:rPr>
                <w:rFonts w:ascii="Times New Roman" w:hAnsi="Times New Roman"/>
                <w:b/>
                <w:sz w:val="14"/>
              </w:rPr>
              <w:t>Jenis</w:t>
            </w:r>
          </w:p>
        </w:tc>
        <w:tc>
          <w:tcPr>
            <w:tcW w:type="dxa" w:w="1417"/>
            <w:shd w:fill="D9EAF7"/>
            <w:vAlign w:val="center"/>
          </w:tcPr>
          <w:p>
            <w:pPr>
              <w:jc w:val="center"/>
            </w:pPr>
            <w:r>
              <w:rPr>
                <w:rFonts w:ascii="Times New Roman" w:hAnsi="Times New Roman"/>
                <w:b/>
                <w:sz w:val="14"/>
              </w:rPr>
              <w:t>Tahun/versi</w:t>
            </w:r>
          </w:p>
        </w:tc>
        <w:tc>
          <w:tcPr>
            <w:tcW w:type="dxa" w:w="4535"/>
            <w:shd w:fill="D9EAF7"/>
            <w:vAlign w:val="center"/>
          </w:tcPr>
          <w:p>
            <w:pPr>
              <w:jc w:val="center"/>
            </w:pPr>
            <w:r>
              <w:rPr>
                <w:rFonts w:ascii="Times New Roman" w:hAnsi="Times New Roman"/>
                <w:b/>
                <w:sz w:val="14"/>
              </w:rPr>
              <w:t>Digunakan untuk</w:t>
            </w:r>
          </w:p>
        </w:tc>
        <w:tc>
          <w:tcPr>
            <w:tcW w:type="dxa" w:w="5102"/>
            <w:shd w:fill="D9EAF7"/>
            <w:vAlign w:val="center"/>
          </w:tcPr>
          <w:p>
            <w:pPr>
              <w:jc w:val="center"/>
            </w:pPr>
            <w:r>
              <w:rPr>
                <w:rFonts w:ascii="Times New Roman" w:hAnsi="Times New Roman"/>
                <w:b/>
                <w:sz w:val="14"/>
              </w:rPr>
              <w:t>URL</w:t>
            </w:r>
          </w:p>
        </w:tc>
      </w:tr>
      <w:tr>
        <w:trPr>
          <w:cantSplit/>
        </w:trPr>
        <w:tc>
          <w:tcPr>
            <w:tcW w:type="dxa" w:w="964"/>
            <w:vAlign w:val="top"/>
          </w:tcPr>
          <w:p>
            <w:r/>
            <w:r>
              <w:rPr>
                <w:rFonts w:ascii="Times New Roman" w:hAnsi="Times New Roman"/>
                <w:sz w:val="14"/>
              </w:rPr>
              <w:t>I-01</w:t>
            </w:r>
          </w:p>
        </w:tc>
        <w:tc>
          <w:tcPr>
            <w:tcW w:type="dxa" w:w="1134"/>
            <w:vAlign w:val="top"/>
          </w:tcPr>
          <w:p>
            <w:r/>
            <w:r>
              <w:rPr>
                <w:rFonts w:ascii="Times New Roman" w:hAnsi="Times New Roman"/>
                <w:sz w:val="14"/>
              </w:rPr>
              <w:t>Bab I</w:t>
            </w:r>
          </w:p>
        </w:tc>
        <w:tc>
          <w:tcPr>
            <w:tcW w:type="dxa" w:w="5102"/>
            <w:vAlign w:val="top"/>
          </w:tcPr>
          <w:p>
            <w:r/>
            <w:r>
              <w:rPr>
                <w:rFonts w:ascii="Times New Roman" w:hAnsi="Times New Roman"/>
                <w:sz w:val="14"/>
              </w:rPr>
              <w:t>Nota Keuangan beserta APBN Tahun Anggaran 2025</w:t>
            </w:r>
          </w:p>
        </w:tc>
        <w:tc>
          <w:tcPr>
            <w:tcW w:type="dxa" w:w="1984"/>
            <w:vAlign w:val="top"/>
          </w:tcPr>
          <w:p>
            <w:r/>
            <w:r>
              <w:rPr>
                <w:rFonts w:ascii="Times New Roman" w:hAnsi="Times New Roman"/>
                <w:sz w:val="14"/>
              </w:rPr>
              <w:t>DATA PUBLIK RESMI</w:t>
            </w:r>
          </w:p>
        </w:tc>
        <w:tc>
          <w:tcPr>
            <w:tcW w:type="dxa" w:w="1417"/>
            <w:vAlign w:val="top"/>
          </w:tcPr>
          <w:p>
            <w:r/>
            <w:r>
              <w:rPr>
                <w:rFonts w:ascii="Times New Roman" w:hAnsi="Times New Roman"/>
                <w:sz w:val="14"/>
              </w:rPr>
              <w:t>2025</w:t>
            </w:r>
          </w:p>
        </w:tc>
        <w:tc>
          <w:tcPr>
            <w:tcW w:type="dxa" w:w="4535"/>
            <w:vAlign w:val="top"/>
          </w:tcPr>
          <w:p>
            <w:r/>
            <w:r>
              <w:rPr>
                <w:rFonts w:ascii="Times New Roman" w:hAnsi="Times New Roman"/>
                <w:sz w:val="14"/>
              </w:rPr>
              <w:t>Basis angka anggaran APBN 2025 dan pembanding terhadap realisasi.</w:t>
            </w:r>
          </w:p>
        </w:tc>
        <w:tc>
          <w:tcPr>
            <w:tcW w:type="dxa" w:w="5102"/>
            <w:vAlign w:val="top"/>
          </w:tcPr>
          <w:p>
            <w:r/>
            <w:hyperlink r:id="rId10">
              <w:r>
                <w:rPr>
                  <w:color w:val="0563C1"/>
                  <w:u w:val="single"/>
                </w:rPr>
                <w:t>https://djpk.kemenkeu.go.id/?p=60363</w:t>
              </w:r>
            </w:hyperlink>
          </w:p>
        </w:tc>
      </w:tr>
      <w:tr>
        <w:trPr>
          <w:cantSplit/>
        </w:trPr>
        <w:tc>
          <w:tcPr>
            <w:tcW w:type="dxa" w:w="964"/>
            <w:vAlign w:val="top"/>
          </w:tcPr>
          <w:p>
            <w:r/>
            <w:r>
              <w:rPr>
                <w:rFonts w:ascii="Times New Roman" w:hAnsi="Times New Roman"/>
                <w:sz w:val="14"/>
              </w:rPr>
              <w:t>I-02</w:t>
            </w:r>
          </w:p>
        </w:tc>
        <w:tc>
          <w:tcPr>
            <w:tcW w:type="dxa" w:w="1134"/>
            <w:vAlign w:val="top"/>
          </w:tcPr>
          <w:p>
            <w:r/>
            <w:r>
              <w:rPr>
                <w:rFonts w:ascii="Times New Roman" w:hAnsi="Times New Roman"/>
                <w:sz w:val="14"/>
              </w:rPr>
              <w:t>Bab I</w:t>
            </w:r>
          </w:p>
        </w:tc>
        <w:tc>
          <w:tcPr>
            <w:tcW w:type="dxa" w:w="5102"/>
            <w:vAlign w:val="top"/>
          </w:tcPr>
          <w:p>
            <w:r/>
            <w:r>
              <w:rPr>
                <w:rFonts w:ascii="Times New Roman" w:hAnsi="Times New Roman"/>
                <w:sz w:val="14"/>
              </w:rPr>
              <w:t>LKPP 2025 audited / penyampaian RUU P2 APBN 2025 - Kementerian Keuangan</w:t>
            </w:r>
          </w:p>
        </w:tc>
        <w:tc>
          <w:tcPr>
            <w:tcW w:type="dxa" w:w="1984"/>
            <w:vAlign w:val="top"/>
          </w:tcPr>
          <w:p>
            <w:r/>
            <w:r>
              <w:rPr>
                <w:rFonts w:ascii="Times New Roman" w:hAnsi="Times New Roman"/>
                <w:sz w:val="14"/>
              </w:rPr>
              <w:t>DATA PUBLIK RESMI</w:t>
            </w:r>
          </w:p>
        </w:tc>
        <w:tc>
          <w:tcPr>
            <w:tcW w:type="dxa" w:w="1417"/>
            <w:vAlign w:val="top"/>
          </w:tcPr>
          <w:p>
            <w:r/>
            <w:r>
              <w:rPr>
                <w:rFonts w:ascii="Times New Roman" w:hAnsi="Times New Roman"/>
                <w:sz w:val="14"/>
              </w:rPr>
              <w:t>2025/2026</w:t>
            </w:r>
          </w:p>
        </w:tc>
        <w:tc>
          <w:tcPr>
            <w:tcW w:type="dxa" w:w="4535"/>
            <w:vAlign w:val="top"/>
          </w:tcPr>
          <w:p>
            <w:r/>
            <w:r>
              <w:rPr>
                <w:rFonts w:ascii="Times New Roman" w:hAnsi="Times New Roman"/>
                <w:sz w:val="14"/>
              </w:rPr>
              <w:t>Basis realisasi audited, defisit, pembiayaan, SiLPA dan posisi keuangan.</w:t>
            </w:r>
          </w:p>
        </w:tc>
        <w:tc>
          <w:tcPr>
            <w:tcW w:type="dxa" w:w="5102"/>
            <w:vAlign w:val="top"/>
          </w:tcPr>
          <w:p>
            <w:r/>
            <w:hyperlink r:id="rId11">
              <w:r>
                <w:rPr>
                  <w:color w:val="0563C1"/>
                  <w:u w:val="single"/>
                </w:rPr>
                <w:t>https://djpb.kemenkeu.go.id/kppn/penerimaan/id/data-publikasi/berita-terbaru/3012-pemerintah-sampaikan-ruu-pertanggungjawaban-apbn-2025%2C-lkpp-kembali-raih-opini-wtp.html</w:t>
              </w:r>
            </w:hyperlink>
          </w:p>
        </w:tc>
      </w:tr>
      <w:tr>
        <w:trPr>
          <w:cantSplit/>
        </w:trPr>
        <w:tc>
          <w:tcPr>
            <w:tcW w:type="dxa" w:w="964"/>
            <w:vAlign w:val="top"/>
          </w:tcPr>
          <w:p>
            <w:r/>
            <w:r>
              <w:rPr>
                <w:rFonts w:ascii="Times New Roman" w:hAnsi="Times New Roman"/>
                <w:sz w:val="14"/>
              </w:rPr>
              <w:t>I-03</w:t>
            </w:r>
          </w:p>
        </w:tc>
        <w:tc>
          <w:tcPr>
            <w:tcW w:type="dxa" w:w="1134"/>
            <w:vAlign w:val="top"/>
          </w:tcPr>
          <w:p>
            <w:r/>
            <w:r>
              <w:rPr>
                <w:rFonts w:ascii="Times New Roman" w:hAnsi="Times New Roman"/>
                <w:sz w:val="14"/>
              </w:rPr>
              <w:t>Bab I</w:t>
            </w:r>
          </w:p>
        </w:tc>
        <w:tc>
          <w:tcPr>
            <w:tcW w:type="dxa" w:w="5102"/>
            <w:vAlign w:val="top"/>
          </w:tcPr>
          <w:p>
            <w:r/>
            <w:r>
              <w:rPr>
                <w:rFonts w:ascii="Times New Roman" w:hAnsi="Times New Roman"/>
                <w:sz w:val="14"/>
              </w:rPr>
              <w:t>BPK RI - Laporan Hasil Pemeriksaan atas LKPP 2025</w:t>
            </w:r>
          </w:p>
        </w:tc>
        <w:tc>
          <w:tcPr>
            <w:tcW w:type="dxa" w:w="1984"/>
            <w:vAlign w:val="top"/>
          </w:tcPr>
          <w:p>
            <w:r/>
            <w:r>
              <w:rPr>
                <w:rFonts w:ascii="Times New Roman" w:hAnsi="Times New Roman"/>
                <w:sz w:val="14"/>
              </w:rPr>
              <w:t>DATA PUBLIK RESMI</w:t>
            </w:r>
          </w:p>
        </w:tc>
        <w:tc>
          <w:tcPr>
            <w:tcW w:type="dxa" w:w="1417"/>
            <w:vAlign w:val="top"/>
          </w:tcPr>
          <w:p>
            <w:r/>
            <w:r>
              <w:rPr>
                <w:rFonts w:ascii="Times New Roman" w:hAnsi="Times New Roman"/>
                <w:sz w:val="14"/>
              </w:rPr>
              <w:t>2025/2026</w:t>
            </w:r>
          </w:p>
        </w:tc>
        <w:tc>
          <w:tcPr>
            <w:tcW w:type="dxa" w:w="4535"/>
            <w:vAlign w:val="top"/>
          </w:tcPr>
          <w:p>
            <w:r/>
            <w:r>
              <w:rPr>
                <w:rFonts w:ascii="Times New Roman" w:hAnsi="Times New Roman"/>
                <w:sz w:val="14"/>
              </w:rPr>
              <w:t>Basis pembacaan opini WTP, temuan, rekomendasi dan perbedaan audit laporan keuangan vs efektivitas kebijakan.</w:t>
            </w:r>
          </w:p>
        </w:tc>
        <w:tc>
          <w:tcPr>
            <w:tcW w:type="dxa" w:w="5102"/>
            <w:vAlign w:val="top"/>
          </w:tcPr>
          <w:p>
            <w:r/>
            <w:hyperlink r:id="rId12">
              <w:r>
                <w:rPr>
                  <w:color w:val="0563C1"/>
                  <w:u w:val="single"/>
                </w:rPr>
                <w:t>https://www.bpk.go.id/lkpp</w:t>
              </w:r>
            </w:hyperlink>
          </w:p>
        </w:tc>
      </w:tr>
      <w:tr>
        <w:trPr>
          <w:cantSplit/>
        </w:trPr>
        <w:tc>
          <w:tcPr>
            <w:tcW w:type="dxa" w:w="964"/>
            <w:vAlign w:val="top"/>
          </w:tcPr>
          <w:p>
            <w:r/>
            <w:r>
              <w:rPr>
                <w:rFonts w:ascii="Times New Roman" w:hAnsi="Times New Roman"/>
                <w:sz w:val="14"/>
              </w:rPr>
              <w:t>I-04</w:t>
            </w:r>
          </w:p>
        </w:tc>
        <w:tc>
          <w:tcPr>
            <w:tcW w:type="dxa" w:w="1134"/>
            <w:vAlign w:val="top"/>
          </w:tcPr>
          <w:p>
            <w:r/>
            <w:r>
              <w:rPr>
                <w:rFonts w:ascii="Times New Roman" w:hAnsi="Times New Roman"/>
                <w:sz w:val="14"/>
              </w:rPr>
              <w:t>Bab I</w:t>
            </w:r>
          </w:p>
        </w:tc>
        <w:tc>
          <w:tcPr>
            <w:tcW w:type="dxa" w:w="5102"/>
            <w:vAlign w:val="top"/>
          </w:tcPr>
          <w:p>
            <w:r/>
            <w:r>
              <w:rPr>
                <w:rFonts w:ascii="Times New Roman" w:hAnsi="Times New Roman"/>
                <w:sz w:val="14"/>
              </w:rPr>
              <w:t>Perda Provinsi DKI Jakarta Nomor 9 Tahun 2024 tentang APBD TA 2025</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2024/2025</w:t>
            </w:r>
          </w:p>
        </w:tc>
        <w:tc>
          <w:tcPr>
            <w:tcW w:type="dxa" w:w="4535"/>
            <w:vAlign w:val="top"/>
          </w:tcPr>
          <w:p>
            <w:r/>
            <w:r>
              <w:rPr>
                <w:rFonts w:ascii="Times New Roman" w:hAnsi="Times New Roman"/>
                <w:sz w:val="14"/>
              </w:rPr>
              <w:t>Basis legal APBD DKI 2025 sebagai contoh daerah.</w:t>
            </w:r>
          </w:p>
        </w:tc>
        <w:tc>
          <w:tcPr>
            <w:tcW w:type="dxa" w:w="5102"/>
            <w:vAlign w:val="top"/>
          </w:tcPr>
          <w:p>
            <w:r/>
            <w:hyperlink r:id="rId13">
              <w:r>
                <w:rPr>
                  <w:color w:val="0563C1"/>
                  <w:u w:val="single"/>
                </w:rPr>
                <w:t>https://jdih.jakarta.go.id/dokumen/detail/14203/peraturan-daerah-nomor-9-tahun-2024tentang-anggaran-pendapatan-dan-belanja-daerah-tahun-anggaran-2025</w:t>
              </w:r>
            </w:hyperlink>
          </w:p>
        </w:tc>
      </w:tr>
      <w:tr>
        <w:trPr>
          <w:cantSplit/>
        </w:trPr>
        <w:tc>
          <w:tcPr>
            <w:tcW w:type="dxa" w:w="964"/>
            <w:vAlign w:val="top"/>
          </w:tcPr>
          <w:p>
            <w:r/>
            <w:r>
              <w:rPr>
                <w:rFonts w:ascii="Times New Roman" w:hAnsi="Times New Roman"/>
                <w:sz w:val="14"/>
              </w:rPr>
              <w:t>I-05</w:t>
            </w:r>
          </w:p>
        </w:tc>
        <w:tc>
          <w:tcPr>
            <w:tcW w:type="dxa" w:w="1134"/>
            <w:vAlign w:val="top"/>
          </w:tcPr>
          <w:p>
            <w:r/>
            <w:r>
              <w:rPr>
                <w:rFonts w:ascii="Times New Roman" w:hAnsi="Times New Roman"/>
                <w:sz w:val="14"/>
              </w:rPr>
              <w:t>Bab I</w:t>
            </w:r>
          </w:p>
        </w:tc>
        <w:tc>
          <w:tcPr>
            <w:tcW w:type="dxa" w:w="5102"/>
            <w:vAlign w:val="top"/>
          </w:tcPr>
          <w:p>
            <w:r/>
            <w:r>
              <w:rPr>
                <w:rFonts w:ascii="Times New Roman" w:hAnsi="Times New Roman"/>
                <w:sz w:val="14"/>
              </w:rPr>
              <w:t>Pemprov DKI Jakarta - penyampaian pertanggungjawaban pelaksanaan APBD 2025</w:t>
            </w:r>
          </w:p>
        </w:tc>
        <w:tc>
          <w:tcPr>
            <w:tcW w:type="dxa" w:w="1984"/>
            <w:vAlign w:val="top"/>
          </w:tcPr>
          <w:p>
            <w:r/>
            <w:r>
              <w:rPr>
                <w:rFonts w:ascii="Times New Roman" w:hAnsi="Times New Roman"/>
                <w:sz w:val="14"/>
              </w:rPr>
              <w:t>DATA PUBLIK RESMI</w:t>
            </w:r>
          </w:p>
        </w:tc>
        <w:tc>
          <w:tcPr>
            <w:tcW w:type="dxa" w:w="1417"/>
            <w:vAlign w:val="top"/>
          </w:tcPr>
          <w:p>
            <w:r/>
            <w:r>
              <w:rPr>
                <w:rFonts w:ascii="Times New Roman" w:hAnsi="Times New Roman"/>
                <w:sz w:val="14"/>
              </w:rPr>
              <w:t>2025/2026</w:t>
            </w:r>
          </w:p>
        </w:tc>
        <w:tc>
          <w:tcPr>
            <w:tcW w:type="dxa" w:w="4535"/>
            <w:vAlign w:val="top"/>
          </w:tcPr>
          <w:p>
            <w:r/>
            <w:r>
              <w:rPr>
                <w:rFonts w:ascii="Times New Roman" w:hAnsi="Times New Roman"/>
                <w:sz w:val="14"/>
              </w:rPr>
              <w:t>Basis realisasi pendapatan, belanja, SiLPA, aset, kewajiban, ekuitas dan opini.</w:t>
            </w:r>
          </w:p>
        </w:tc>
        <w:tc>
          <w:tcPr>
            <w:tcW w:type="dxa" w:w="5102"/>
            <w:vAlign w:val="top"/>
          </w:tcPr>
          <w:p>
            <w:r/>
            <w:hyperlink r:id="rId14">
              <w:r>
                <w:rPr>
                  <w:color w:val="0563C1"/>
                  <w:u w:val="single"/>
                </w:rPr>
                <w:t>https://www.jakarta.go.id/siaran-pers/6761-SP-HMS-06-2026</w:t>
              </w:r>
            </w:hyperlink>
          </w:p>
        </w:tc>
      </w:tr>
      <w:tr>
        <w:trPr>
          <w:cantSplit/>
        </w:trPr>
        <w:tc>
          <w:tcPr>
            <w:tcW w:type="dxa" w:w="964"/>
            <w:vAlign w:val="top"/>
          </w:tcPr>
          <w:p>
            <w:r/>
            <w:r>
              <w:rPr>
                <w:rFonts w:ascii="Times New Roman" w:hAnsi="Times New Roman"/>
                <w:sz w:val="14"/>
              </w:rPr>
              <w:t>I-06</w:t>
            </w:r>
          </w:p>
        </w:tc>
        <w:tc>
          <w:tcPr>
            <w:tcW w:type="dxa" w:w="1134"/>
            <w:vAlign w:val="top"/>
          </w:tcPr>
          <w:p>
            <w:r/>
            <w:r>
              <w:rPr>
                <w:rFonts w:ascii="Times New Roman" w:hAnsi="Times New Roman"/>
                <w:sz w:val="14"/>
              </w:rPr>
              <w:t>Bab I</w:t>
            </w:r>
          </w:p>
        </w:tc>
        <w:tc>
          <w:tcPr>
            <w:tcW w:type="dxa" w:w="5102"/>
            <w:vAlign w:val="top"/>
          </w:tcPr>
          <w:p>
            <w:r/>
            <w:r>
              <w:rPr>
                <w:rFonts w:ascii="Times New Roman" w:hAnsi="Times New Roman"/>
                <w:sz w:val="14"/>
              </w:rPr>
              <w:t>PP Nomor 71 Tahun 2010 tentang Standar Akuntansi Pemerintahan</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2010</w:t>
            </w:r>
          </w:p>
        </w:tc>
        <w:tc>
          <w:tcPr>
            <w:tcW w:type="dxa" w:w="4535"/>
            <w:vAlign w:val="top"/>
          </w:tcPr>
          <w:p>
            <w:r/>
            <w:r>
              <w:rPr>
                <w:rFonts w:ascii="Times New Roman" w:hAnsi="Times New Roman"/>
                <w:sz w:val="14"/>
              </w:rPr>
              <w:t>Basis normatif SAP/PSAP untuk LKPP/LKPD.</w:t>
            </w:r>
          </w:p>
        </w:tc>
        <w:tc>
          <w:tcPr>
            <w:tcW w:type="dxa" w:w="5102"/>
            <w:vAlign w:val="top"/>
          </w:tcPr>
          <w:p>
            <w:r/>
            <w:hyperlink r:id="rId15">
              <w:r>
                <w:rPr>
                  <w:color w:val="0563C1"/>
                  <w:u w:val="single"/>
                </w:rPr>
                <w:t>https://peraturan.bpk.go.id/Details/5095/pp-no-71-tahun-2010</w:t>
              </w:r>
            </w:hyperlink>
          </w:p>
        </w:tc>
      </w:tr>
      <w:tr>
        <w:trPr>
          <w:cantSplit/>
        </w:trPr>
        <w:tc>
          <w:tcPr>
            <w:tcW w:type="dxa" w:w="964"/>
            <w:vAlign w:val="top"/>
          </w:tcPr>
          <w:p>
            <w:r/>
            <w:r>
              <w:rPr>
                <w:rFonts w:ascii="Times New Roman" w:hAnsi="Times New Roman"/>
                <w:sz w:val="14"/>
              </w:rPr>
              <w:t>I-07</w:t>
            </w:r>
          </w:p>
        </w:tc>
        <w:tc>
          <w:tcPr>
            <w:tcW w:type="dxa" w:w="1134"/>
            <w:vAlign w:val="top"/>
          </w:tcPr>
          <w:p>
            <w:r/>
            <w:r>
              <w:rPr>
                <w:rFonts w:ascii="Times New Roman" w:hAnsi="Times New Roman"/>
                <w:sz w:val="14"/>
              </w:rPr>
              <w:t>Bab I</w:t>
            </w:r>
          </w:p>
        </w:tc>
        <w:tc>
          <w:tcPr>
            <w:tcW w:type="dxa" w:w="5102"/>
            <w:vAlign w:val="top"/>
          </w:tcPr>
          <w:p>
            <w:r/>
            <w:r>
              <w:rPr>
                <w:rFonts w:ascii="Times New Roman" w:hAnsi="Times New Roman"/>
                <w:sz w:val="14"/>
              </w:rPr>
              <w:t>PMK Nomor 100 Tahun 2025 tentang Kebijakan Akuntansi Pemerintah Pusat</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2025</w:t>
            </w:r>
          </w:p>
        </w:tc>
        <w:tc>
          <w:tcPr>
            <w:tcW w:type="dxa" w:w="4535"/>
            <w:vAlign w:val="top"/>
          </w:tcPr>
          <w:p>
            <w:r/>
            <w:r>
              <w:rPr>
                <w:rFonts w:ascii="Times New Roman" w:hAnsi="Times New Roman"/>
                <w:sz w:val="14"/>
              </w:rPr>
              <w:t>Basis kebijakan akuntansi pusat mulai penyusunan LK TA 2025.</w:t>
            </w:r>
          </w:p>
        </w:tc>
        <w:tc>
          <w:tcPr>
            <w:tcW w:type="dxa" w:w="5102"/>
            <w:vAlign w:val="top"/>
          </w:tcPr>
          <w:p>
            <w:r/>
            <w:hyperlink r:id="rId16">
              <w:r>
                <w:rPr>
                  <w:color w:val="0563C1"/>
                  <w:u w:val="single"/>
                </w:rPr>
                <w:t>https://jdih.kemenkeu.go.id/dok/pmk-100-tahun-2025</w:t>
              </w:r>
            </w:hyperlink>
          </w:p>
        </w:tc>
      </w:tr>
      <w:tr>
        <w:trPr>
          <w:cantSplit/>
        </w:trPr>
        <w:tc>
          <w:tcPr>
            <w:tcW w:type="dxa" w:w="964"/>
            <w:vAlign w:val="top"/>
          </w:tcPr>
          <w:p>
            <w:r/>
            <w:r>
              <w:rPr>
                <w:rFonts w:ascii="Times New Roman" w:hAnsi="Times New Roman"/>
                <w:sz w:val="14"/>
              </w:rPr>
              <w:t>I-08</w:t>
            </w:r>
          </w:p>
        </w:tc>
        <w:tc>
          <w:tcPr>
            <w:tcW w:type="dxa" w:w="1134"/>
            <w:vAlign w:val="top"/>
          </w:tcPr>
          <w:p>
            <w:r/>
            <w:r>
              <w:rPr>
                <w:rFonts w:ascii="Times New Roman" w:hAnsi="Times New Roman"/>
                <w:sz w:val="14"/>
              </w:rPr>
              <w:t>Bab I</w:t>
            </w:r>
          </w:p>
        </w:tc>
        <w:tc>
          <w:tcPr>
            <w:tcW w:type="dxa" w:w="5102"/>
            <w:vAlign w:val="top"/>
          </w:tcPr>
          <w:p>
            <w:r/>
            <w:r>
              <w:rPr>
                <w:rFonts w:ascii="Times New Roman" w:hAnsi="Times New Roman"/>
                <w:sz w:val="14"/>
              </w:rPr>
              <w:t>UU Nomor 17 Tahun 2003 tentang Keuangan Negara; UU Nomor 1 Tahun 2004 tentang Perbendaharaan Negara</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2003/2004</w:t>
            </w:r>
          </w:p>
        </w:tc>
        <w:tc>
          <w:tcPr>
            <w:tcW w:type="dxa" w:w="4535"/>
            <w:vAlign w:val="top"/>
          </w:tcPr>
          <w:p>
            <w:r/>
            <w:r>
              <w:rPr>
                <w:rFonts w:ascii="Times New Roman" w:hAnsi="Times New Roman"/>
                <w:sz w:val="14"/>
              </w:rPr>
              <w:t>Landasan arsitektur anggaran, pelaksanaan dan pertanggungjawaban keuangan negara.</w:t>
            </w:r>
          </w:p>
        </w:tc>
        <w:tc>
          <w:tcPr>
            <w:tcW w:type="dxa" w:w="5102"/>
            <w:vAlign w:val="top"/>
          </w:tcPr>
          <w:p>
            <w:r/>
            <w:hyperlink r:id="rId17">
              <w:r>
                <w:rPr>
                  <w:color w:val="0563C1"/>
                  <w:u w:val="single"/>
                </w:rPr>
                <w:t>https://peraturan.bpk.go.id</w:t>
              </w:r>
            </w:hyperlink>
          </w:p>
        </w:tc>
      </w:tr>
      <w:tr>
        <w:trPr>
          <w:cantSplit/>
        </w:trPr>
        <w:tc>
          <w:tcPr>
            <w:tcW w:type="dxa" w:w="964"/>
            <w:vAlign w:val="top"/>
          </w:tcPr>
          <w:p>
            <w:r/>
            <w:r>
              <w:rPr>
                <w:rFonts w:ascii="Times New Roman" w:hAnsi="Times New Roman"/>
                <w:sz w:val="14"/>
              </w:rPr>
              <w:t>II-01</w:t>
            </w:r>
          </w:p>
        </w:tc>
        <w:tc>
          <w:tcPr>
            <w:tcW w:type="dxa" w:w="1134"/>
            <w:vAlign w:val="top"/>
          </w:tcPr>
          <w:p>
            <w:r/>
            <w:r>
              <w:rPr>
                <w:rFonts w:ascii="Times New Roman" w:hAnsi="Times New Roman"/>
                <w:sz w:val="14"/>
              </w:rPr>
              <w:t>Bab II</w:t>
            </w:r>
          </w:p>
        </w:tc>
        <w:tc>
          <w:tcPr>
            <w:tcW w:type="dxa" w:w="5102"/>
            <w:vAlign w:val="top"/>
          </w:tcPr>
          <w:p>
            <w:r/>
            <w:r>
              <w:rPr>
                <w:rFonts w:ascii="Times New Roman" w:hAnsi="Times New Roman"/>
                <w:sz w:val="14"/>
              </w:rPr>
              <w:t>Mark H. Moore, Creating Public Value: Strategic Management in Government, Harvard University Press</w:t>
            </w:r>
          </w:p>
        </w:tc>
        <w:tc>
          <w:tcPr>
            <w:tcW w:type="dxa" w:w="1984"/>
            <w:vAlign w:val="top"/>
          </w:tcPr>
          <w:p>
            <w:r/>
            <w:r>
              <w:rPr>
                <w:rFonts w:ascii="Times New Roman" w:hAnsi="Times New Roman"/>
                <w:sz w:val="14"/>
              </w:rPr>
              <w:t>REFERENSI KONSEPTUAL PRIMER</w:t>
            </w:r>
          </w:p>
        </w:tc>
        <w:tc>
          <w:tcPr>
            <w:tcW w:type="dxa" w:w="1417"/>
            <w:vAlign w:val="top"/>
          </w:tcPr>
          <w:p>
            <w:r/>
            <w:r>
              <w:rPr>
                <w:rFonts w:ascii="Times New Roman" w:hAnsi="Times New Roman"/>
                <w:sz w:val="14"/>
              </w:rPr>
              <w:t>1995</w:t>
            </w:r>
          </w:p>
        </w:tc>
        <w:tc>
          <w:tcPr>
            <w:tcW w:type="dxa" w:w="4535"/>
            <w:vAlign w:val="top"/>
          </w:tcPr>
          <w:p>
            <w:r/>
            <w:r>
              <w:rPr>
                <w:rFonts w:ascii="Times New Roman" w:hAnsi="Times New Roman"/>
                <w:sz w:val="14"/>
              </w:rPr>
              <w:t>Rujukan eksplisit untuk substantive value, legitimacy/support dan operational capacity.</w:t>
            </w:r>
          </w:p>
        </w:tc>
        <w:tc>
          <w:tcPr>
            <w:tcW w:type="dxa" w:w="5102"/>
            <w:vAlign w:val="top"/>
          </w:tcPr>
          <w:p>
            <w:r/>
            <w:hyperlink r:id="rId18">
              <w:r>
                <w:rPr>
                  <w:color w:val="0563C1"/>
                  <w:u w:val="single"/>
                </w:rPr>
                <w:t>https://markmoore.scholars.harvard.edu/topics/public-management</w:t>
              </w:r>
            </w:hyperlink>
          </w:p>
        </w:tc>
      </w:tr>
      <w:tr>
        <w:trPr>
          <w:cantSplit/>
        </w:trPr>
        <w:tc>
          <w:tcPr>
            <w:tcW w:type="dxa" w:w="964"/>
            <w:vAlign w:val="top"/>
          </w:tcPr>
          <w:p>
            <w:r/>
            <w:r>
              <w:rPr>
                <w:rFonts w:ascii="Times New Roman" w:hAnsi="Times New Roman"/>
                <w:sz w:val="14"/>
              </w:rPr>
              <w:t>II-02</w:t>
            </w:r>
          </w:p>
        </w:tc>
        <w:tc>
          <w:tcPr>
            <w:tcW w:type="dxa" w:w="1134"/>
            <w:vAlign w:val="top"/>
          </w:tcPr>
          <w:p>
            <w:r/>
            <w:r>
              <w:rPr>
                <w:rFonts w:ascii="Times New Roman" w:hAnsi="Times New Roman"/>
                <w:sz w:val="14"/>
              </w:rPr>
              <w:t>Bab II</w:t>
            </w:r>
          </w:p>
        </w:tc>
        <w:tc>
          <w:tcPr>
            <w:tcW w:type="dxa" w:w="5102"/>
            <w:vAlign w:val="top"/>
          </w:tcPr>
          <w:p>
            <w:r/>
            <w:r>
              <w:rPr>
                <w:rFonts w:ascii="Times New Roman" w:hAnsi="Times New Roman"/>
                <w:sz w:val="14"/>
              </w:rPr>
              <w:t>Kerangka penulis: Problem → Policy Choice → Institution → Capacity → Delivery → Output → Outcome → Public Value</w:t>
            </w:r>
          </w:p>
        </w:tc>
        <w:tc>
          <w:tcPr>
            <w:tcW w:type="dxa" w:w="1984"/>
            <w:vAlign w:val="top"/>
          </w:tcPr>
          <w:p>
            <w:r/>
            <w:r>
              <w:rPr>
                <w:rFonts w:ascii="Times New Roman" w:hAnsi="Times New Roman"/>
                <w:sz w:val="14"/>
              </w:rPr>
              <w:t>KERANGKA PENULIS</w:t>
            </w:r>
          </w:p>
        </w:tc>
        <w:tc>
          <w:tcPr>
            <w:tcW w:type="dxa" w:w="1417"/>
            <w:vAlign w:val="top"/>
          </w:tcPr>
          <w:p>
            <w:r/>
            <w:r>
              <w:rPr>
                <w:rFonts w:ascii="Times New Roman" w:hAnsi="Times New Roman"/>
                <w:sz w:val="14"/>
              </w:rPr>
              <w:t>2026</w:t>
            </w:r>
          </w:p>
        </w:tc>
        <w:tc>
          <w:tcPr>
            <w:tcW w:type="dxa" w:w="4535"/>
            <w:vAlign w:val="top"/>
          </w:tcPr>
          <w:p>
            <w:r/>
            <w:r>
              <w:rPr>
                <w:rFonts w:ascii="Times New Roman" w:hAnsi="Times New Roman"/>
                <w:sz w:val="14"/>
              </w:rPr>
              <w:t>Kerangka sintesis buku; bukan indikator resmi dan tidak diklaim berasal dari satu standar eksternal.</w:t>
            </w:r>
          </w:p>
        </w:tc>
        <w:tc>
          <w:tcPr>
            <w:tcW w:type="dxa" w:w="5102"/>
            <w:vAlign w:val="top"/>
          </w:tcPr>
          <w:p>
            <w:r/>
            <w:r>
              <w:rPr>
                <w:rFonts w:ascii="Times New Roman" w:hAnsi="Times New Roman"/>
                <w:sz w:val="14"/>
              </w:rPr>
              <w:t>—</w:t>
            </w:r>
          </w:p>
        </w:tc>
      </w:tr>
      <w:tr>
        <w:trPr>
          <w:cantSplit/>
        </w:trPr>
        <w:tc>
          <w:tcPr>
            <w:tcW w:type="dxa" w:w="964"/>
            <w:vAlign w:val="top"/>
          </w:tcPr>
          <w:p>
            <w:r/>
            <w:r>
              <w:rPr>
                <w:rFonts w:ascii="Times New Roman" w:hAnsi="Times New Roman"/>
                <w:sz w:val="14"/>
              </w:rPr>
              <w:t>III-01</w:t>
            </w:r>
          </w:p>
        </w:tc>
        <w:tc>
          <w:tcPr>
            <w:tcW w:type="dxa" w:w="1134"/>
            <w:vAlign w:val="top"/>
          </w:tcPr>
          <w:p>
            <w:r/>
            <w:r>
              <w:rPr>
                <w:rFonts w:ascii="Times New Roman" w:hAnsi="Times New Roman"/>
                <w:sz w:val="14"/>
              </w:rPr>
              <w:t>Bab III</w:t>
            </w:r>
          </w:p>
        </w:tc>
        <w:tc>
          <w:tcPr>
            <w:tcW w:type="dxa" w:w="5102"/>
            <w:vAlign w:val="top"/>
          </w:tcPr>
          <w:p>
            <w:r/>
            <w:r>
              <w:rPr>
                <w:rFonts w:ascii="Times New Roman" w:hAnsi="Times New Roman"/>
                <w:sz w:val="14"/>
              </w:rPr>
              <w:t>DJP - Penerimaan Kanwil DJP Wajib Pajak Besar 2024 Kembali Lampaui Target</w:t>
            </w:r>
          </w:p>
        </w:tc>
        <w:tc>
          <w:tcPr>
            <w:tcW w:type="dxa" w:w="1984"/>
            <w:vAlign w:val="top"/>
          </w:tcPr>
          <w:p>
            <w:r/>
            <w:r>
              <w:rPr>
                <w:rFonts w:ascii="Times New Roman" w:hAnsi="Times New Roman"/>
                <w:sz w:val="14"/>
              </w:rPr>
              <w:t>DATA PUBLIK RESMI</w:t>
            </w:r>
          </w:p>
        </w:tc>
        <w:tc>
          <w:tcPr>
            <w:tcW w:type="dxa" w:w="1417"/>
            <w:vAlign w:val="top"/>
          </w:tcPr>
          <w:p>
            <w:r/>
            <w:r>
              <w:rPr>
                <w:rFonts w:ascii="Times New Roman" w:hAnsi="Times New Roman"/>
                <w:sz w:val="14"/>
              </w:rPr>
              <w:t>2024/2025</w:t>
            </w:r>
          </w:p>
        </w:tc>
        <w:tc>
          <w:tcPr>
            <w:tcW w:type="dxa" w:w="4535"/>
            <w:vAlign w:val="top"/>
          </w:tcPr>
          <w:p>
            <w:r/>
            <w:r>
              <w:rPr>
                <w:rFonts w:ascii="Times New Roman" w:hAnsi="Times New Roman"/>
                <w:sz w:val="14"/>
              </w:rPr>
              <w:t>Basis angka Rp571,37 triliun dan 29,57% kontribusi nasional.</w:t>
            </w:r>
          </w:p>
        </w:tc>
        <w:tc>
          <w:tcPr>
            <w:tcW w:type="dxa" w:w="5102"/>
            <w:vAlign w:val="top"/>
          </w:tcPr>
          <w:p>
            <w:r/>
            <w:hyperlink r:id="rId19">
              <w:r>
                <w:rPr>
                  <w:color w:val="0563C1"/>
                  <w:u w:val="single"/>
                </w:rPr>
                <w:t>https://pajak.go.id/id/siaran-pers/penerimaan-kanwil-djp-wajib-pajak-besar-2024-kembali-lampaui-target</w:t>
              </w:r>
            </w:hyperlink>
          </w:p>
        </w:tc>
      </w:tr>
      <w:tr>
        <w:trPr>
          <w:cantSplit/>
        </w:trPr>
        <w:tc>
          <w:tcPr>
            <w:tcW w:type="dxa" w:w="964"/>
            <w:vAlign w:val="top"/>
          </w:tcPr>
          <w:p>
            <w:r/>
            <w:r>
              <w:rPr>
                <w:rFonts w:ascii="Times New Roman" w:hAnsi="Times New Roman"/>
                <w:sz w:val="14"/>
              </w:rPr>
              <w:t>III-02</w:t>
            </w:r>
          </w:p>
        </w:tc>
        <w:tc>
          <w:tcPr>
            <w:tcW w:type="dxa" w:w="1134"/>
            <w:vAlign w:val="top"/>
          </w:tcPr>
          <w:p>
            <w:r/>
            <w:r>
              <w:rPr>
                <w:rFonts w:ascii="Times New Roman" w:hAnsi="Times New Roman"/>
                <w:sz w:val="14"/>
              </w:rPr>
              <w:t>Bab III</w:t>
            </w:r>
          </w:p>
        </w:tc>
        <w:tc>
          <w:tcPr>
            <w:tcW w:type="dxa" w:w="5102"/>
            <w:vAlign w:val="top"/>
          </w:tcPr>
          <w:p>
            <w:r/>
            <w:r>
              <w:rPr>
                <w:rFonts w:ascii="Times New Roman" w:hAnsi="Times New Roman"/>
                <w:sz w:val="14"/>
              </w:rPr>
              <w:t>PP Nomor 20 Tahun 2026 tentang Perubahan atas PP Nomor 55 Tahun 2022</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2026</w:t>
            </w:r>
          </w:p>
        </w:tc>
        <w:tc>
          <w:tcPr>
            <w:tcW w:type="dxa" w:w="4535"/>
            <w:vAlign w:val="top"/>
          </w:tcPr>
          <w:p>
            <w:r/>
            <w:r>
              <w:rPr>
                <w:rFonts w:ascii="Times New Roman" w:hAnsi="Times New Roman"/>
                <w:sz w:val="14"/>
              </w:rPr>
              <w:t>Basis pengaturan PPh final atas WP dengan peredaran bruto tertentu.</w:t>
            </w:r>
          </w:p>
        </w:tc>
        <w:tc>
          <w:tcPr>
            <w:tcW w:type="dxa" w:w="5102"/>
            <w:vAlign w:val="top"/>
          </w:tcPr>
          <w:p>
            <w:r/>
            <w:hyperlink r:id="rId20">
              <w:r>
                <w:rPr>
                  <w:color w:val="0563C1"/>
                  <w:u w:val="single"/>
                </w:rPr>
                <w:t>https://jdih.kemenkeu.go.id/dok/pp-20-tahun-2026/summary</w:t>
              </w:r>
            </w:hyperlink>
          </w:p>
        </w:tc>
      </w:tr>
      <w:tr>
        <w:trPr>
          <w:cantSplit/>
        </w:trPr>
        <w:tc>
          <w:tcPr>
            <w:tcW w:type="dxa" w:w="964"/>
            <w:vAlign w:val="top"/>
          </w:tcPr>
          <w:p>
            <w:r/>
            <w:r>
              <w:rPr>
                <w:rFonts w:ascii="Times New Roman" w:hAnsi="Times New Roman"/>
                <w:sz w:val="14"/>
              </w:rPr>
              <w:t>III-03</w:t>
            </w:r>
          </w:p>
        </w:tc>
        <w:tc>
          <w:tcPr>
            <w:tcW w:type="dxa" w:w="1134"/>
            <w:vAlign w:val="top"/>
          </w:tcPr>
          <w:p>
            <w:r/>
            <w:r>
              <w:rPr>
                <w:rFonts w:ascii="Times New Roman" w:hAnsi="Times New Roman"/>
                <w:sz w:val="14"/>
              </w:rPr>
              <w:t>Bab III</w:t>
            </w:r>
          </w:p>
        </w:tc>
        <w:tc>
          <w:tcPr>
            <w:tcW w:type="dxa" w:w="5102"/>
            <w:vAlign w:val="top"/>
          </w:tcPr>
          <w:p>
            <w:r/>
            <w:r>
              <w:rPr>
                <w:rFonts w:ascii="Times New Roman" w:hAnsi="Times New Roman"/>
                <w:sz w:val="14"/>
              </w:rPr>
              <w:t>UU Nomor 7 Tahun 2021 tentang Harmonisasi Peraturan Perpajakan</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2021</w:t>
            </w:r>
          </w:p>
        </w:tc>
        <w:tc>
          <w:tcPr>
            <w:tcW w:type="dxa" w:w="4535"/>
            <w:vAlign w:val="top"/>
          </w:tcPr>
          <w:p>
            <w:r/>
            <w:r>
              <w:rPr>
                <w:rFonts w:ascii="Times New Roman" w:hAnsi="Times New Roman"/>
                <w:sz w:val="14"/>
              </w:rPr>
              <w:t>Landasan perubahan tarif PPN dan kerangka perpajakan yang dirujuk.</w:t>
            </w:r>
          </w:p>
        </w:tc>
        <w:tc>
          <w:tcPr>
            <w:tcW w:type="dxa" w:w="5102"/>
            <w:vAlign w:val="top"/>
          </w:tcPr>
          <w:p>
            <w:r/>
            <w:hyperlink r:id="rId21">
              <w:r>
                <w:rPr>
                  <w:color w:val="0563C1"/>
                  <w:u w:val="single"/>
                </w:rPr>
                <w:t>https://peraturan.bpk.go.id/Details/185162/uu-no-7-tahun-2021</w:t>
              </w:r>
            </w:hyperlink>
          </w:p>
        </w:tc>
      </w:tr>
      <w:tr>
        <w:trPr>
          <w:cantSplit/>
        </w:trPr>
        <w:tc>
          <w:tcPr>
            <w:tcW w:type="dxa" w:w="964"/>
            <w:vAlign w:val="top"/>
          </w:tcPr>
          <w:p>
            <w:r/>
            <w:r>
              <w:rPr>
                <w:rFonts w:ascii="Times New Roman" w:hAnsi="Times New Roman"/>
                <w:sz w:val="14"/>
              </w:rPr>
              <w:t>III-04</w:t>
            </w:r>
          </w:p>
        </w:tc>
        <w:tc>
          <w:tcPr>
            <w:tcW w:type="dxa" w:w="1134"/>
            <w:vAlign w:val="top"/>
          </w:tcPr>
          <w:p>
            <w:r/>
            <w:r>
              <w:rPr>
                <w:rFonts w:ascii="Times New Roman" w:hAnsi="Times New Roman"/>
                <w:sz w:val="14"/>
              </w:rPr>
              <w:t>Bab III</w:t>
            </w:r>
          </w:p>
        </w:tc>
        <w:tc>
          <w:tcPr>
            <w:tcW w:type="dxa" w:w="5102"/>
            <w:vAlign w:val="top"/>
          </w:tcPr>
          <w:p>
            <w:r/>
            <w:r>
              <w:rPr>
                <w:rFonts w:ascii="Times New Roman" w:hAnsi="Times New Roman"/>
                <w:sz w:val="14"/>
              </w:rPr>
              <w:t>PMK Nomor 131 Tahun 2024</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2024/2025</w:t>
            </w:r>
          </w:p>
        </w:tc>
        <w:tc>
          <w:tcPr>
            <w:tcW w:type="dxa" w:w="4535"/>
            <w:vAlign w:val="top"/>
          </w:tcPr>
          <w:p>
            <w:r/>
            <w:r>
              <w:rPr>
                <w:rFonts w:ascii="Times New Roman" w:hAnsi="Times New Roman"/>
                <w:sz w:val="14"/>
              </w:rPr>
              <w:t>Basis perlakuan PPN 2025 termasuk nilai lain/DPP sesuai ketentuan.</w:t>
            </w:r>
          </w:p>
        </w:tc>
        <w:tc>
          <w:tcPr>
            <w:tcW w:type="dxa" w:w="5102"/>
            <w:vAlign w:val="top"/>
          </w:tcPr>
          <w:p>
            <w:r/>
            <w:hyperlink r:id="rId22">
              <w:r>
                <w:rPr>
                  <w:color w:val="0563C1"/>
                  <w:u w:val="single"/>
                </w:rPr>
                <w:t>https://jdih.kemenkeu.go.id/dok/pmk-131-tahun-2024</w:t>
              </w:r>
            </w:hyperlink>
          </w:p>
        </w:tc>
      </w:tr>
      <w:tr>
        <w:trPr>
          <w:cantSplit/>
        </w:trPr>
        <w:tc>
          <w:tcPr>
            <w:tcW w:type="dxa" w:w="964"/>
            <w:vAlign w:val="top"/>
          </w:tcPr>
          <w:p>
            <w:r/>
            <w:r>
              <w:rPr>
                <w:rFonts w:ascii="Times New Roman" w:hAnsi="Times New Roman"/>
                <w:sz w:val="14"/>
              </w:rPr>
              <w:t>III-05</w:t>
            </w:r>
          </w:p>
        </w:tc>
        <w:tc>
          <w:tcPr>
            <w:tcW w:type="dxa" w:w="1134"/>
            <w:vAlign w:val="top"/>
          </w:tcPr>
          <w:p>
            <w:r/>
            <w:r>
              <w:rPr>
                <w:rFonts w:ascii="Times New Roman" w:hAnsi="Times New Roman"/>
                <w:sz w:val="14"/>
              </w:rPr>
              <w:t>Bab III</w:t>
            </w:r>
          </w:p>
        </w:tc>
        <w:tc>
          <w:tcPr>
            <w:tcW w:type="dxa" w:w="5102"/>
            <w:vAlign w:val="top"/>
          </w:tcPr>
          <w:p>
            <w:r/>
            <w:r>
              <w:rPr>
                <w:rFonts w:ascii="Times New Roman" w:hAnsi="Times New Roman"/>
                <w:sz w:val="14"/>
              </w:rPr>
              <w:t>Nota Keuangan beserta RAPBN Tahun Anggaran 2026</w:t>
            </w:r>
          </w:p>
        </w:tc>
        <w:tc>
          <w:tcPr>
            <w:tcW w:type="dxa" w:w="1984"/>
            <w:vAlign w:val="top"/>
          </w:tcPr>
          <w:p>
            <w:r/>
            <w:r>
              <w:rPr>
                <w:rFonts w:ascii="Times New Roman" w:hAnsi="Times New Roman"/>
                <w:sz w:val="14"/>
              </w:rPr>
              <w:t>DATA PUBLIK RESMI</w:t>
            </w:r>
          </w:p>
        </w:tc>
        <w:tc>
          <w:tcPr>
            <w:tcW w:type="dxa" w:w="1417"/>
            <w:vAlign w:val="top"/>
          </w:tcPr>
          <w:p>
            <w:r/>
            <w:r>
              <w:rPr>
                <w:rFonts w:ascii="Times New Roman" w:hAnsi="Times New Roman"/>
                <w:sz w:val="14"/>
              </w:rPr>
              <w:t>2026</w:t>
            </w:r>
          </w:p>
        </w:tc>
        <w:tc>
          <w:tcPr>
            <w:tcW w:type="dxa" w:w="4535"/>
            <w:vAlign w:val="top"/>
          </w:tcPr>
          <w:p>
            <w:r/>
            <w:r>
              <w:rPr>
                <w:rFonts w:ascii="Times New Roman" w:hAnsi="Times New Roman"/>
                <w:sz w:val="14"/>
              </w:rPr>
              <w:t>Basis pernyataan struktur DBH pajak dalam desain fiskal berjalan; PPN-sharing diposisikan sebagai hipotesis, bukan DBH berjalan.</w:t>
            </w:r>
          </w:p>
        </w:tc>
        <w:tc>
          <w:tcPr>
            <w:tcW w:type="dxa" w:w="5102"/>
            <w:vAlign w:val="top"/>
          </w:tcPr>
          <w:p>
            <w:r/>
            <w:hyperlink r:id="rId23">
              <w:r>
                <w:rPr>
                  <w:color w:val="0563C1"/>
                  <w:u w:val="single"/>
                </w:rPr>
                <w:t>https://anggaran.kemenkeu.go.id/api/Medias/507d21b0-2abe-4d75-86aa-dc3efe505843</w:t>
              </w:r>
            </w:hyperlink>
          </w:p>
        </w:tc>
      </w:tr>
      <w:tr>
        <w:trPr>
          <w:cantSplit/>
        </w:trPr>
        <w:tc>
          <w:tcPr>
            <w:tcW w:type="dxa" w:w="964"/>
            <w:vAlign w:val="top"/>
          </w:tcPr>
          <w:p>
            <w:r/>
            <w:r>
              <w:rPr>
                <w:rFonts w:ascii="Times New Roman" w:hAnsi="Times New Roman"/>
                <w:sz w:val="14"/>
              </w:rPr>
              <w:t>III-06</w:t>
            </w:r>
          </w:p>
        </w:tc>
        <w:tc>
          <w:tcPr>
            <w:tcW w:type="dxa" w:w="1134"/>
            <w:vAlign w:val="top"/>
          </w:tcPr>
          <w:p>
            <w:r/>
            <w:r>
              <w:rPr>
                <w:rFonts w:ascii="Times New Roman" w:hAnsi="Times New Roman"/>
                <w:sz w:val="14"/>
              </w:rPr>
              <w:t>Bab III</w:t>
            </w:r>
          </w:p>
        </w:tc>
        <w:tc>
          <w:tcPr>
            <w:tcW w:type="dxa" w:w="5102"/>
            <w:vAlign w:val="top"/>
          </w:tcPr>
          <w:p>
            <w:r/>
            <w:r>
              <w:rPr>
                <w:rFonts w:ascii="Times New Roman" w:hAnsi="Times New Roman"/>
                <w:sz w:val="14"/>
              </w:rPr>
              <w:t>OECD International VAT/GST Guidelines</w:t>
            </w:r>
          </w:p>
        </w:tc>
        <w:tc>
          <w:tcPr>
            <w:tcW w:type="dxa" w:w="1984"/>
            <w:vAlign w:val="top"/>
          </w:tcPr>
          <w:p>
            <w:r/>
            <w:r>
              <w:rPr>
                <w:rFonts w:ascii="Times New Roman" w:hAnsi="Times New Roman"/>
                <w:sz w:val="14"/>
              </w:rPr>
              <w:t>REFERENSI KONSEPTUAL PRIMER</w:t>
            </w:r>
          </w:p>
        </w:tc>
        <w:tc>
          <w:tcPr>
            <w:tcW w:type="dxa" w:w="1417"/>
            <w:vAlign w:val="top"/>
          </w:tcPr>
          <w:p>
            <w:r/>
            <w:r>
              <w:rPr>
                <w:rFonts w:ascii="Times New Roman" w:hAnsi="Times New Roman"/>
                <w:sz w:val="14"/>
              </w:rPr>
              <w:t>2017</w:t>
            </w:r>
          </w:p>
        </w:tc>
        <w:tc>
          <w:tcPr>
            <w:tcW w:type="dxa" w:w="4535"/>
            <w:vAlign w:val="top"/>
          </w:tcPr>
          <w:p>
            <w:r/>
            <w:r>
              <w:rPr>
                <w:rFonts w:ascii="Times New Roman" w:hAnsi="Times New Roman"/>
                <w:sz w:val="14"/>
              </w:rPr>
              <w:t>Referensi konseptual destination principle dan jurisdiction of consumption; bukan dasar hukum DBH domestik.</w:t>
            </w:r>
          </w:p>
        </w:tc>
        <w:tc>
          <w:tcPr>
            <w:tcW w:type="dxa" w:w="5102"/>
            <w:vAlign w:val="top"/>
          </w:tcPr>
          <w:p>
            <w:r/>
            <w:hyperlink r:id="rId24">
              <w:r>
                <w:rPr>
                  <w:color w:val="0563C1"/>
                  <w:u w:val="single"/>
                </w:rPr>
                <w:t>https://www.oecd.org/content/dam/oecd/en/publications/reports/2017/04/international-vat-gst-guidelines_g1g75db4/9789264271401-en.pdf</w:t>
              </w:r>
            </w:hyperlink>
          </w:p>
        </w:tc>
      </w:tr>
      <w:tr>
        <w:trPr>
          <w:cantSplit/>
        </w:trPr>
        <w:tc>
          <w:tcPr>
            <w:tcW w:type="dxa" w:w="964"/>
            <w:vAlign w:val="top"/>
          </w:tcPr>
          <w:p>
            <w:r/>
            <w:r>
              <w:rPr>
                <w:rFonts w:ascii="Times New Roman" w:hAnsi="Times New Roman"/>
                <w:sz w:val="14"/>
              </w:rPr>
              <w:t>III-07</w:t>
            </w:r>
          </w:p>
        </w:tc>
        <w:tc>
          <w:tcPr>
            <w:tcW w:type="dxa" w:w="1134"/>
            <w:vAlign w:val="top"/>
          </w:tcPr>
          <w:p>
            <w:r/>
            <w:r>
              <w:rPr>
                <w:rFonts w:ascii="Times New Roman" w:hAnsi="Times New Roman"/>
                <w:sz w:val="14"/>
              </w:rPr>
              <w:t>Bab III</w:t>
            </w:r>
          </w:p>
        </w:tc>
        <w:tc>
          <w:tcPr>
            <w:tcW w:type="dxa" w:w="5102"/>
            <w:vAlign w:val="top"/>
          </w:tcPr>
          <w:p>
            <w:r/>
            <w:r>
              <w:rPr>
                <w:rFonts w:ascii="Times New Roman" w:hAnsi="Times New Roman"/>
                <w:sz w:val="14"/>
              </w:rPr>
              <w:t>UU Nomor 1 Tahun 2022 tentang HKPD</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2022</w:t>
            </w:r>
          </w:p>
        </w:tc>
        <w:tc>
          <w:tcPr>
            <w:tcW w:type="dxa" w:w="4535"/>
            <w:vAlign w:val="top"/>
          </w:tcPr>
          <w:p>
            <w:r/>
            <w:r>
              <w:rPr>
                <w:rFonts w:ascii="Times New Roman" w:hAnsi="Times New Roman"/>
                <w:sz w:val="14"/>
              </w:rPr>
              <w:t>Basis pajak/retribusi daerah, TKD, belanja dan pembiayaan daerah.</w:t>
            </w:r>
          </w:p>
        </w:tc>
        <w:tc>
          <w:tcPr>
            <w:tcW w:type="dxa" w:w="5102"/>
            <w:vAlign w:val="top"/>
          </w:tcPr>
          <w:p>
            <w:r/>
            <w:hyperlink r:id="rId25">
              <w:r>
                <w:rPr>
                  <w:color w:val="0563C1"/>
                  <w:u w:val="single"/>
                </w:rPr>
                <w:t>https://peraturan.bpk.go.id/Details/195696/uu-no-1-tahun-2022</w:t>
              </w:r>
            </w:hyperlink>
          </w:p>
        </w:tc>
      </w:tr>
      <w:tr>
        <w:trPr>
          <w:cantSplit/>
        </w:trPr>
        <w:tc>
          <w:tcPr>
            <w:tcW w:type="dxa" w:w="964"/>
            <w:vAlign w:val="top"/>
          </w:tcPr>
          <w:p>
            <w:r/>
            <w:r>
              <w:rPr>
                <w:rFonts w:ascii="Times New Roman" w:hAnsi="Times New Roman"/>
                <w:sz w:val="14"/>
              </w:rPr>
              <w:t>III-08</w:t>
            </w:r>
          </w:p>
        </w:tc>
        <w:tc>
          <w:tcPr>
            <w:tcW w:type="dxa" w:w="1134"/>
            <w:vAlign w:val="top"/>
          </w:tcPr>
          <w:p>
            <w:r/>
            <w:r>
              <w:rPr>
                <w:rFonts w:ascii="Times New Roman" w:hAnsi="Times New Roman"/>
                <w:sz w:val="14"/>
              </w:rPr>
              <w:t>Bab III</w:t>
            </w:r>
          </w:p>
        </w:tc>
        <w:tc>
          <w:tcPr>
            <w:tcW w:type="dxa" w:w="5102"/>
            <w:vAlign w:val="top"/>
          </w:tcPr>
          <w:p>
            <w:r/>
            <w:r>
              <w:rPr>
                <w:rFonts w:ascii="Times New Roman" w:hAnsi="Times New Roman"/>
                <w:sz w:val="14"/>
              </w:rPr>
              <w:t>PP Nomor 35 Tahun 2023 tentang Ketentuan Umum PDRD</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2023</w:t>
            </w:r>
          </w:p>
        </w:tc>
        <w:tc>
          <w:tcPr>
            <w:tcW w:type="dxa" w:w="4535"/>
            <w:vAlign w:val="top"/>
          </w:tcPr>
          <w:p>
            <w:r/>
            <w:r>
              <w:rPr>
                <w:rFonts w:ascii="Times New Roman" w:hAnsi="Times New Roman"/>
                <w:sz w:val="14"/>
              </w:rPr>
              <w:t>Basis pemungutan, opsen, dukungan iklim usaha/investasi dan tata kelola PDRD.</w:t>
            </w:r>
          </w:p>
        </w:tc>
        <w:tc>
          <w:tcPr>
            <w:tcW w:type="dxa" w:w="5102"/>
            <w:vAlign w:val="top"/>
          </w:tcPr>
          <w:p>
            <w:r/>
            <w:hyperlink r:id="rId26">
              <w:r>
                <w:rPr>
                  <w:color w:val="0563C1"/>
                  <w:u w:val="single"/>
                </w:rPr>
                <w:t>https://peraturan.bpk.go.id/Details/252130/pp-no-35-tahun-2023</w:t>
              </w:r>
            </w:hyperlink>
          </w:p>
        </w:tc>
      </w:tr>
      <w:tr>
        <w:trPr>
          <w:cantSplit/>
        </w:trPr>
        <w:tc>
          <w:tcPr>
            <w:tcW w:type="dxa" w:w="964"/>
            <w:vAlign w:val="top"/>
          </w:tcPr>
          <w:p>
            <w:r/>
            <w:r>
              <w:rPr>
                <w:rFonts w:ascii="Times New Roman" w:hAnsi="Times New Roman"/>
                <w:sz w:val="14"/>
              </w:rPr>
              <w:t>III-09</w:t>
            </w:r>
          </w:p>
        </w:tc>
        <w:tc>
          <w:tcPr>
            <w:tcW w:type="dxa" w:w="1134"/>
            <w:vAlign w:val="top"/>
          </w:tcPr>
          <w:p>
            <w:r/>
            <w:r>
              <w:rPr>
                <w:rFonts w:ascii="Times New Roman" w:hAnsi="Times New Roman"/>
                <w:sz w:val="14"/>
              </w:rPr>
              <w:t>Bab III</w:t>
            </w:r>
          </w:p>
        </w:tc>
        <w:tc>
          <w:tcPr>
            <w:tcW w:type="dxa" w:w="5102"/>
            <w:vAlign w:val="top"/>
          </w:tcPr>
          <w:p>
            <w:r/>
            <w:r>
              <w:rPr>
                <w:rFonts w:ascii="Times New Roman" w:hAnsi="Times New Roman"/>
                <w:sz w:val="14"/>
              </w:rPr>
              <w:t>Kerangka penulis</w:t>
            </w:r>
          </w:p>
        </w:tc>
        <w:tc>
          <w:tcPr>
            <w:tcW w:type="dxa" w:w="1984"/>
            <w:vAlign w:val="top"/>
          </w:tcPr>
          <w:p>
            <w:r/>
            <w:r>
              <w:rPr>
                <w:rFonts w:ascii="Times New Roman" w:hAnsi="Times New Roman"/>
                <w:sz w:val="14"/>
              </w:rPr>
              <w:t>KERANGKA PENULIS</w:t>
            </w:r>
          </w:p>
        </w:tc>
        <w:tc>
          <w:tcPr>
            <w:tcW w:type="dxa" w:w="1417"/>
            <w:vAlign w:val="top"/>
          </w:tcPr>
          <w:p>
            <w:r/>
            <w:r>
              <w:rPr>
                <w:rFonts w:ascii="Times New Roman" w:hAnsi="Times New Roman"/>
                <w:sz w:val="14"/>
              </w:rPr>
              <w:t>2026</w:t>
            </w:r>
          </w:p>
        </w:tc>
        <w:tc>
          <w:tcPr>
            <w:tcW w:type="dxa" w:w="4535"/>
            <w:vAlign w:val="top"/>
          </w:tcPr>
          <w:p>
            <w:r/>
            <w:r>
              <w:rPr>
                <w:rFonts w:ascii="Times New Roman" w:hAnsi="Times New Roman"/>
                <w:sz w:val="14"/>
              </w:rPr>
              <w:t>Pilot/diagnostic framework; bukan indikator resmi. Metodologi wajib diuji sebelum penggunaan statistik.</w:t>
            </w:r>
          </w:p>
        </w:tc>
        <w:tc>
          <w:tcPr>
            <w:tcW w:type="dxa" w:w="5102"/>
            <w:vAlign w:val="top"/>
          </w:tcPr>
          <w:p>
            <w:r/>
            <w:r>
              <w:rPr>
                <w:rFonts w:ascii="Times New Roman" w:hAnsi="Times New Roman"/>
                <w:sz w:val="14"/>
              </w:rPr>
              <w:t>—</w:t>
            </w:r>
          </w:p>
        </w:tc>
      </w:tr>
      <w:tr>
        <w:trPr>
          <w:cantSplit/>
        </w:trPr>
        <w:tc>
          <w:tcPr>
            <w:tcW w:type="dxa" w:w="964"/>
            <w:vAlign w:val="top"/>
          </w:tcPr>
          <w:p>
            <w:r/>
            <w:r>
              <w:rPr>
                <w:rFonts w:ascii="Times New Roman" w:hAnsi="Times New Roman"/>
                <w:sz w:val="14"/>
              </w:rPr>
              <w:t>IV-01</w:t>
            </w:r>
          </w:p>
        </w:tc>
        <w:tc>
          <w:tcPr>
            <w:tcW w:type="dxa" w:w="1134"/>
            <w:vAlign w:val="top"/>
          </w:tcPr>
          <w:p>
            <w:r/>
            <w:r>
              <w:rPr>
                <w:rFonts w:ascii="Times New Roman" w:hAnsi="Times New Roman"/>
                <w:sz w:val="14"/>
              </w:rPr>
              <w:t>Bab IV</w:t>
            </w:r>
          </w:p>
        </w:tc>
        <w:tc>
          <w:tcPr>
            <w:tcW w:type="dxa" w:w="5102"/>
            <w:vAlign w:val="top"/>
          </w:tcPr>
          <w:p>
            <w:r/>
            <w:r>
              <w:rPr>
                <w:rFonts w:ascii="Times New Roman" w:hAnsi="Times New Roman"/>
                <w:sz w:val="14"/>
              </w:rPr>
              <w:t>BPS - Sistem Terintegrasi Neraca Lingkungan dan Ekonomi Indonesia 2020-2024</w:t>
            </w:r>
          </w:p>
        </w:tc>
        <w:tc>
          <w:tcPr>
            <w:tcW w:type="dxa" w:w="1984"/>
            <w:vAlign w:val="top"/>
          </w:tcPr>
          <w:p>
            <w:r/>
            <w:r>
              <w:rPr>
                <w:rFonts w:ascii="Times New Roman" w:hAnsi="Times New Roman"/>
                <w:sz w:val="14"/>
              </w:rPr>
              <w:t>DATA PUBLIK RESMI</w:t>
            </w:r>
          </w:p>
        </w:tc>
        <w:tc>
          <w:tcPr>
            <w:tcW w:type="dxa" w:w="1417"/>
            <w:vAlign w:val="top"/>
          </w:tcPr>
          <w:p>
            <w:r/>
            <w:r>
              <w:rPr>
                <w:rFonts w:ascii="Times New Roman" w:hAnsi="Times New Roman"/>
                <w:sz w:val="14"/>
              </w:rPr>
              <w:t>2024 data / rilis 2025</w:t>
            </w:r>
          </w:p>
        </w:tc>
        <w:tc>
          <w:tcPr>
            <w:tcW w:type="dxa" w:w="4535"/>
            <w:vAlign w:val="top"/>
          </w:tcPr>
          <w:p>
            <w:r/>
            <w:r>
              <w:rPr>
                <w:rFonts w:ascii="Times New Roman" w:hAnsi="Times New Roman"/>
                <w:sz w:val="14"/>
              </w:rPr>
              <w:t>Basis data stok, ekstraksi, neraca moneter, deplesi; buku merujuk Gambar 5.2 dan Lampiran 45-46.</w:t>
            </w:r>
          </w:p>
        </w:tc>
        <w:tc>
          <w:tcPr>
            <w:tcW w:type="dxa" w:w="5102"/>
            <w:vAlign w:val="top"/>
          </w:tcPr>
          <w:p>
            <w:r/>
            <w:hyperlink r:id="rId27">
              <w:r>
                <w:rPr>
                  <w:color w:val="0563C1"/>
                  <w:u w:val="single"/>
                </w:rPr>
                <w:t>https://www.bps.go.id/id/publication/2025/12/30/48e29af53d4127452b148791/sistem-terintegrasi-neraca-lingkungan-dan-ekonomi-indonesia-2020-2024.html</w:t>
              </w:r>
            </w:hyperlink>
          </w:p>
        </w:tc>
      </w:tr>
      <w:tr>
        <w:trPr>
          <w:cantSplit/>
        </w:trPr>
        <w:tc>
          <w:tcPr>
            <w:tcW w:type="dxa" w:w="964"/>
            <w:vAlign w:val="top"/>
          </w:tcPr>
          <w:p>
            <w:r/>
            <w:r>
              <w:rPr>
                <w:rFonts w:ascii="Times New Roman" w:hAnsi="Times New Roman"/>
                <w:sz w:val="14"/>
              </w:rPr>
              <w:t>IV-02</w:t>
            </w:r>
          </w:p>
        </w:tc>
        <w:tc>
          <w:tcPr>
            <w:tcW w:type="dxa" w:w="1134"/>
            <w:vAlign w:val="top"/>
          </w:tcPr>
          <w:p>
            <w:r/>
            <w:r>
              <w:rPr>
                <w:rFonts w:ascii="Times New Roman" w:hAnsi="Times New Roman"/>
                <w:sz w:val="14"/>
              </w:rPr>
              <w:t>Bab IV</w:t>
            </w:r>
          </w:p>
        </w:tc>
        <w:tc>
          <w:tcPr>
            <w:tcW w:type="dxa" w:w="5102"/>
            <w:vAlign w:val="top"/>
          </w:tcPr>
          <w:p>
            <w:r/>
            <w:r>
              <w:rPr>
                <w:rFonts w:ascii="Times New Roman" w:hAnsi="Times New Roman"/>
                <w:sz w:val="14"/>
              </w:rPr>
              <w:t>John M. Hartwick, 'Intergenerational Equity and the Investing of Rents from Exhaustible Resources', AER 67(5):972-974</w:t>
            </w:r>
          </w:p>
        </w:tc>
        <w:tc>
          <w:tcPr>
            <w:tcW w:type="dxa" w:w="1984"/>
            <w:vAlign w:val="top"/>
          </w:tcPr>
          <w:p>
            <w:r/>
            <w:r>
              <w:rPr>
                <w:rFonts w:ascii="Times New Roman" w:hAnsi="Times New Roman"/>
                <w:sz w:val="14"/>
              </w:rPr>
              <w:t>REFERENSI KONSEPTUAL PRIMER</w:t>
            </w:r>
          </w:p>
        </w:tc>
        <w:tc>
          <w:tcPr>
            <w:tcW w:type="dxa" w:w="1417"/>
            <w:vAlign w:val="top"/>
          </w:tcPr>
          <w:p>
            <w:r/>
            <w:r>
              <w:rPr>
                <w:rFonts w:ascii="Times New Roman" w:hAnsi="Times New Roman"/>
                <w:sz w:val="14"/>
              </w:rPr>
              <w:t>1977</w:t>
            </w:r>
          </w:p>
        </w:tc>
        <w:tc>
          <w:tcPr>
            <w:tcW w:type="dxa" w:w="4535"/>
            <w:vAlign w:val="top"/>
          </w:tcPr>
          <w:p>
            <w:r/>
            <w:r>
              <w:rPr>
                <w:rFonts w:ascii="Times New Roman" w:hAnsi="Times New Roman"/>
                <w:sz w:val="14"/>
              </w:rPr>
              <w:t>Landasan konseptual investasi rente sumber daya untuk keadilan antargenerasi.</w:t>
            </w:r>
          </w:p>
        </w:tc>
        <w:tc>
          <w:tcPr>
            <w:tcW w:type="dxa" w:w="5102"/>
            <w:vAlign w:val="top"/>
          </w:tcPr>
          <w:p>
            <w:r/>
            <w:hyperlink r:id="rId28">
              <w:r>
                <w:rPr>
                  <w:color w:val="0563C1"/>
                  <w:u w:val="single"/>
                </w:rPr>
                <w:t>https://ideas.repec.org/a/aea/aecrev/v67y1977i5p972-74.html</w:t>
              </w:r>
            </w:hyperlink>
          </w:p>
        </w:tc>
      </w:tr>
      <w:tr>
        <w:trPr>
          <w:cantSplit/>
        </w:trPr>
        <w:tc>
          <w:tcPr>
            <w:tcW w:type="dxa" w:w="964"/>
            <w:vAlign w:val="top"/>
          </w:tcPr>
          <w:p>
            <w:r/>
            <w:r>
              <w:rPr>
                <w:rFonts w:ascii="Times New Roman" w:hAnsi="Times New Roman"/>
                <w:sz w:val="14"/>
              </w:rPr>
              <w:t>IV-03</w:t>
            </w:r>
          </w:p>
        </w:tc>
        <w:tc>
          <w:tcPr>
            <w:tcW w:type="dxa" w:w="1134"/>
            <w:vAlign w:val="top"/>
          </w:tcPr>
          <w:p>
            <w:r/>
            <w:r>
              <w:rPr>
                <w:rFonts w:ascii="Times New Roman" w:hAnsi="Times New Roman"/>
                <w:sz w:val="14"/>
              </w:rPr>
              <w:t>Bab IV</w:t>
            </w:r>
          </w:p>
        </w:tc>
        <w:tc>
          <w:tcPr>
            <w:tcW w:type="dxa" w:w="5102"/>
            <w:vAlign w:val="top"/>
          </w:tcPr>
          <w:p>
            <w:r/>
            <w:r>
              <w:rPr>
                <w:rFonts w:ascii="Times New Roman" w:hAnsi="Times New Roman"/>
                <w:sz w:val="14"/>
              </w:rPr>
              <w:t>Kementerian ESDM - Laporan Kinerja Kementerian ESDM Tahun 2025</w:t>
            </w:r>
          </w:p>
        </w:tc>
        <w:tc>
          <w:tcPr>
            <w:tcW w:type="dxa" w:w="1984"/>
            <w:vAlign w:val="top"/>
          </w:tcPr>
          <w:p>
            <w:r/>
            <w:r>
              <w:rPr>
                <w:rFonts w:ascii="Times New Roman" w:hAnsi="Times New Roman"/>
                <w:sz w:val="14"/>
              </w:rPr>
              <w:t>DATA PUBLIK RESMI</w:t>
            </w:r>
          </w:p>
        </w:tc>
        <w:tc>
          <w:tcPr>
            <w:tcW w:type="dxa" w:w="1417"/>
            <w:vAlign w:val="top"/>
          </w:tcPr>
          <w:p>
            <w:r/>
            <w:r>
              <w:rPr>
                <w:rFonts w:ascii="Times New Roman" w:hAnsi="Times New Roman"/>
                <w:sz w:val="14"/>
              </w:rPr>
              <w:t>2025</w:t>
            </w:r>
          </w:p>
        </w:tc>
        <w:tc>
          <w:tcPr>
            <w:tcW w:type="dxa" w:w="4535"/>
            <w:vAlign w:val="top"/>
          </w:tcPr>
          <w:p>
            <w:r/>
            <w:r>
              <w:rPr>
                <w:rFonts w:ascii="Times New Roman" w:hAnsi="Times New Roman"/>
                <w:sz w:val="14"/>
              </w:rPr>
              <w:t>Basis konteks PNBP minerba dan produksi komoditas yang disebut dalam buku.</w:t>
            </w:r>
          </w:p>
        </w:tc>
        <w:tc>
          <w:tcPr>
            <w:tcW w:type="dxa" w:w="5102"/>
            <w:vAlign w:val="top"/>
          </w:tcPr>
          <w:p>
            <w:r/>
            <w:hyperlink r:id="rId29">
              <w:r>
                <w:rPr>
                  <w:color w:val="0563C1"/>
                  <w:u w:val="single"/>
                </w:rPr>
                <w:t>https://esdm.go.id/id/publikasi/laporan-kinerja</w:t>
              </w:r>
            </w:hyperlink>
          </w:p>
        </w:tc>
      </w:tr>
      <w:tr>
        <w:trPr>
          <w:cantSplit/>
        </w:trPr>
        <w:tc>
          <w:tcPr>
            <w:tcW w:type="dxa" w:w="964"/>
            <w:vAlign w:val="top"/>
          </w:tcPr>
          <w:p>
            <w:r/>
            <w:r>
              <w:rPr>
                <w:rFonts w:ascii="Times New Roman" w:hAnsi="Times New Roman"/>
                <w:sz w:val="14"/>
              </w:rPr>
              <w:t>IV-04</w:t>
            </w:r>
          </w:p>
        </w:tc>
        <w:tc>
          <w:tcPr>
            <w:tcW w:type="dxa" w:w="1134"/>
            <w:vAlign w:val="top"/>
          </w:tcPr>
          <w:p>
            <w:r/>
            <w:r>
              <w:rPr>
                <w:rFonts w:ascii="Times New Roman" w:hAnsi="Times New Roman"/>
                <w:sz w:val="14"/>
              </w:rPr>
              <w:t>Bab IV</w:t>
            </w:r>
          </w:p>
        </w:tc>
        <w:tc>
          <w:tcPr>
            <w:tcW w:type="dxa" w:w="5102"/>
            <w:vAlign w:val="top"/>
          </w:tcPr>
          <w:p>
            <w:r/>
            <w:r>
              <w:rPr>
                <w:rFonts w:ascii="Times New Roman" w:hAnsi="Times New Roman"/>
                <w:sz w:val="14"/>
              </w:rPr>
              <w:t>UU Nomor 9 Tahun 2018 tentang PNBP</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2018</w:t>
            </w:r>
          </w:p>
        </w:tc>
        <w:tc>
          <w:tcPr>
            <w:tcW w:type="dxa" w:w="4535"/>
            <w:vAlign w:val="top"/>
          </w:tcPr>
          <w:p>
            <w:r/>
            <w:r>
              <w:rPr>
                <w:rFonts w:ascii="Times New Roman" w:hAnsi="Times New Roman"/>
                <w:sz w:val="14"/>
              </w:rPr>
              <w:t>Landasan prinsip pengelolaan PNBP.</w:t>
            </w:r>
          </w:p>
        </w:tc>
        <w:tc>
          <w:tcPr>
            <w:tcW w:type="dxa" w:w="5102"/>
            <w:vAlign w:val="top"/>
          </w:tcPr>
          <w:p>
            <w:r/>
            <w:hyperlink r:id="rId30">
              <w:r>
                <w:rPr>
                  <w:color w:val="0563C1"/>
                  <w:u w:val="single"/>
                </w:rPr>
                <w:t>https://peraturan.bpk.go.id/Details/90041/uu-no-9-tahun-2018</w:t>
              </w:r>
            </w:hyperlink>
          </w:p>
        </w:tc>
      </w:tr>
      <w:tr>
        <w:trPr>
          <w:cantSplit/>
        </w:trPr>
        <w:tc>
          <w:tcPr>
            <w:tcW w:type="dxa" w:w="964"/>
            <w:vAlign w:val="top"/>
          </w:tcPr>
          <w:p>
            <w:r/>
            <w:r>
              <w:rPr>
                <w:rFonts w:ascii="Times New Roman" w:hAnsi="Times New Roman"/>
                <w:sz w:val="14"/>
              </w:rPr>
              <w:t>IV-05</w:t>
            </w:r>
          </w:p>
        </w:tc>
        <w:tc>
          <w:tcPr>
            <w:tcW w:type="dxa" w:w="1134"/>
            <w:vAlign w:val="top"/>
          </w:tcPr>
          <w:p>
            <w:r/>
            <w:r>
              <w:rPr>
                <w:rFonts w:ascii="Times New Roman" w:hAnsi="Times New Roman"/>
                <w:sz w:val="14"/>
              </w:rPr>
              <w:t>Bab IV</w:t>
            </w:r>
          </w:p>
        </w:tc>
        <w:tc>
          <w:tcPr>
            <w:tcW w:type="dxa" w:w="5102"/>
            <w:vAlign w:val="top"/>
          </w:tcPr>
          <w:p>
            <w:r/>
            <w:r>
              <w:rPr>
                <w:rFonts w:ascii="Times New Roman" w:hAnsi="Times New Roman"/>
                <w:sz w:val="14"/>
              </w:rPr>
              <w:t>PP Nomor 44 Tahun 2025</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2025</w:t>
            </w:r>
          </w:p>
        </w:tc>
        <w:tc>
          <w:tcPr>
            <w:tcW w:type="dxa" w:w="4535"/>
            <w:vAlign w:val="top"/>
          </w:tcPr>
          <w:p>
            <w:r/>
            <w:r>
              <w:rPr>
                <w:rFonts w:ascii="Times New Roman" w:hAnsi="Times New Roman"/>
                <w:sz w:val="14"/>
              </w:rPr>
              <w:t>Basis tata cara penetapan tarif, pengelolaan, keberatan, keringanan dan pengembalian PNBP.</w:t>
            </w:r>
          </w:p>
        </w:tc>
        <w:tc>
          <w:tcPr>
            <w:tcW w:type="dxa" w:w="5102"/>
            <w:vAlign w:val="top"/>
          </w:tcPr>
          <w:p>
            <w:r/>
            <w:hyperlink r:id="rId31">
              <w:r>
                <w:rPr>
                  <w:color w:val="0563C1"/>
                  <w:u w:val="single"/>
                </w:rPr>
                <w:t>https://peraturan.bpk.go.id/Details/331115/pp-no-44-tahun-2025</w:t>
              </w:r>
            </w:hyperlink>
          </w:p>
        </w:tc>
      </w:tr>
      <w:tr>
        <w:trPr>
          <w:cantSplit/>
        </w:trPr>
        <w:tc>
          <w:tcPr>
            <w:tcW w:type="dxa" w:w="964"/>
            <w:vAlign w:val="top"/>
          </w:tcPr>
          <w:p>
            <w:r/>
            <w:r>
              <w:rPr>
                <w:rFonts w:ascii="Times New Roman" w:hAnsi="Times New Roman"/>
                <w:sz w:val="14"/>
              </w:rPr>
              <w:t>IV-06</w:t>
            </w:r>
          </w:p>
        </w:tc>
        <w:tc>
          <w:tcPr>
            <w:tcW w:type="dxa" w:w="1134"/>
            <w:vAlign w:val="top"/>
          </w:tcPr>
          <w:p>
            <w:r/>
            <w:r>
              <w:rPr>
                <w:rFonts w:ascii="Times New Roman" w:hAnsi="Times New Roman"/>
                <w:sz w:val="14"/>
              </w:rPr>
              <w:t>Bab IV</w:t>
            </w:r>
          </w:p>
        </w:tc>
        <w:tc>
          <w:tcPr>
            <w:tcW w:type="dxa" w:w="5102"/>
            <w:vAlign w:val="top"/>
          </w:tcPr>
          <w:p>
            <w:r/>
            <w:r>
              <w:rPr>
                <w:rFonts w:ascii="Times New Roman" w:hAnsi="Times New Roman"/>
                <w:sz w:val="14"/>
              </w:rPr>
              <w:t>PP Nomor 19 Tahun 2025</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2025</w:t>
            </w:r>
          </w:p>
        </w:tc>
        <w:tc>
          <w:tcPr>
            <w:tcW w:type="dxa" w:w="4535"/>
            <w:vAlign w:val="top"/>
          </w:tcPr>
          <w:p>
            <w:r/>
            <w:r>
              <w:rPr>
                <w:rFonts w:ascii="Times New Roman" w:hAnsi="Times New Roman"/>
                <w:sz w:val="14"/>
              </w:rPr>
              <w:t>Basis jenis dan tarif PNBP yang berlaku pada Kementerian ESDM.</w:t>
            </w:r>
          </w:p>
        </w:tc>
        <w:tc>
          <w:tcPr>
            <w:tcW w:type="dxa" w:w="5102"/>
            <w:vAlign w:val="top"/>
          </w:tcPr>
          <w:p>
            <w:r/>
            <w:hyperlink r:id="rId32">
              <w:r>
                <w:rPr>
                  <w:color w:val="0563C1"/>
                  <w:u w:val="single"/>
                </w:rPr>
                <w:t>https://peraturan.bpk.go.id/Details/320049/pp-no-19-tahun-2025</w:t>
              </w:r>
            </w:hyperlink>
          </w:p>
        </w:tc>
      </w:tr>
      <w:tr>
        <w:trPr>
          <w:cantSplit/>
        </w:trPr>
        <w:tc>
          <w:tcPr>
            <w:tcW w:type="dxa" w:w="964"/>
            <w:vAlign w:val="top"/>
          </w:tcPr>
          <w:p>
            <w:r/>
            <w:r>
              <w:rPr>
                <w:rFonts w:ascii="Times New Roman" w:hAnsi="Times New Roman"/>
                <w:sz w:val="14"/>
              </w:rPr>
              <w:t>IV-07</w:t>
            </w:r>
          </w:p>
        </w:tc>
        <w:tc>
          <w:tcPr>
            <w:tcW w:type="dxa" w:w="1134"/>
            <w:vAlign w:val="top"/>
          </w:tcPr>
          <w:p>
            <w:r/>
            <w:r>
              <w:rPr>
                <w:rFonts w:ascii="Times New Roman" w:hAnsi="Times New Roman"/>
                <w:sz w:val="14"/>
              </w:rPr>
              <w:t>Bab IV</w:t>
            </w:r>
          </w:p>
        </w:tc>
        <w:tc>
          <w:tcPr>
            <w:tcW w:type="dxa" w:w="5102"/>
            <w:vAlign w:val="top"/>
          </w:tcPr>
          <w:p>
            <w:r/>
            <w:r>
              <w:rPr>
                <w:rFonts w:ascii="Times New Roman" w:hAnsi="Times New Roman"/>
                <w:sz w:val="14"/>
              </w:rPr>
              <w:t>PP Nomor 18 Tahun 2025</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2025</w:t>
            </w:r>
          </w:p>
        </w:tc>
        <w:tc>
          <w:tcPr>
            <w:tcW w:type="dxa" w:w="4535"/>
            <w:vAlign w:val="top"/>
          </w:tcPr>
          <w:p>
            <w:r/>
            <w:r>
              <w:rPr>
                <w:rFonts w:ascii="Times New Roman" w:hAnsi="Times New Roman"/>
                <w:sz w:val="14"/>
              </w:rPr>
              <w:t>Perubahan atas PP 15/2022 mengenai perlakuan perpajakan dan/atau PNBP usaha pertambangan batubara.</w:t>
            </w:r>
          </w:p>
        </w:tc>
        <w:tc>
          <w:tcPr>
            <w:tcW w:type="dxa" w:w="5102"/>
            <w:vAlign w:val="top"/>
          </w:tcPr>
          <w:p>
            <w:r/>
            <w:hyperlink r:id="rId33">
              <w:r>
                <w:rPr>
                  <w:color w:val="0563C1"/>
                  <w:u w:val="single"/>
                </w:rPr>
                <w:t>https://peraturan.bpk.go.id/Details/320043</w:t>
              </w:r>
            </w:hyperlink>
          </w:p>
        </w:tc>
      </w:tr>
      <w:tr>
        <w:trPr>
          <w:cantSplit/>
        </w:trPr>
        <w:tc>
          <w:tcPr>
            <w:tcW w:type="dxa" w:w="964"/>
            <w:vAlign w:val="top"/>
          </w:tcPr>
          <w:p>
            <w:r/>
            <w:r>
              <w:rPr>
                <w:rFonts w:ascii="Times New Roman" w:hAnsi="Times New Roman"/>
                <w:sz w:val="14"/>
              </w:rPr>
              <w:t>IV-08</w:t>
            </w:r>
          </w:p>
        </w:tc>
        <w:tc>
          <w:tcPr>
            <w:tcW w:type="dxa" w:w="1134"/>
            <w:vAlign w:val="top"/>
          </w:tcPr>
          <w:p>
            <w:r/>
            <w:r>
              <w:rPr>
                <w:rFonts w:ascii="Times New Roman" w:hAnsi="Times New Roman"/>
                <w:sz w:val="14"/>
              </w:rPr>
              <w:t>Bab IV</w:t>
            </w:r>
          </w:p>
        </w:tc>
        <w:tc>
          <w:tcPr>
            <w:tcW w:type="dxa" w:w="5102"/>
            <w:vAlign w:val="top"/>
          </w:tcPr>
          <w:p>
            <w:r/>
            <w:r>
              <w:rPr>
                <w:rFonts w:ascii="Times New Roman" w:hAnsi="Times New Roman"/>
                <w:sz w:val="14"/>
              </w:rPr>
              <w:t>Perpres Nomor 132 Tahun 2024 tentang Pengelolaan Dana Perkebunan</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2024</w:t>
            </w:r>
          </w:p>
        </w:tc>
        <w:tc>
          <w:tcPr>
            <w:tcW w:type="dxa" w:w="4535"/>
            <w:vAlign w:val="top"/>
          </w:tcPr>
          <w:p>
            <w:r/>
            <w:r>
              <w:rPr>
                <w:rFonts w:ascii="Times New Roman" w:hAnsi="Times New Roman"/>
                <w:sz w:val="14"/>
              </w:rPr>
              <w:t>Basis struktur penghimpunan/penggunaan dana perkebunan dan kelembagaan.</w:t>
            </w:r>
          </w:p>
        </w:tc>
        <w:tc>
          <w:tcPr>
            <w:tcW w:type="dxa" w:w="5102"/>
            <w:vAlign w:val="top"/>
          </w:tcPr>
          <w:p>
            <w:r/>
            <w:hyperlink r:id="rId34">
              <w:r>
                <w:rPr>
                  <w:color w:val="0563C1"/>
                  <w:u w:val="single"/>
                </w:rPr>
                <w:t>https://peraturan.bpk.go.id/Details/305311/perpres-no-132-tahun-2024</w:t>
              </w:r>
            </w:hyperlink>
          </w:p>
        </w:tc>
      </w:tr>
      <w:tr>
        <w:trPr>
          <w:cantSplit/>
        </w:trPr>
        <w:tc>
          <w:tcPr>
            <w:tcW w:type="dxa" w:w="964"/>
            <w:vAlign w:val="top"/>
          </w:tcPr>
          <w:p>
            <w:r/>
            <w:r>
              <w:rPr>
                <w:rFonts w:ascii="Times New Roman" w:hAnsi="Times New Roman"/>
                <w:sz w:val="14"/>
              </w:rPr>
              <w:t>IV-09</w:t>
            </w:r>
          </w:p>
        </w:tc>
        <w:tc>
          <w:tcPr>
            <w:tcW w:type="dxa" w:w="1134"/>
            <w:vAlign w:val="top"/>
          </w:tcPr>
          <w:p>
            <w:r/>
            <w:r>
              <w:rPr>
                <w:rFonts w:ascii="Times New Roman" w:hAnsi="Times New Roman"/>
                <w:sz w:val="14"/>
              </w:rPr>
              <w:t>Bab IV</w:t>
            </w:r>
          </w:p>
        </w:tc>
        <w:tc>
          <w:tcPr>
            <w:tcW w:type="dxa" w:w="5102"/>
            <w:vAlign w:val="top"/>
          </w:tcPr>
          <w:p>
            <w:r/>
            <w:r>
              <w:rPr>
                <w:rFonts w:ascii="Times New Roman" w:hAnsi="Times New Roman"/>
                <w:sz w:val="14"/>
              </w:rPr>
              <w:t>PMK Nomor 69 Tahun 2025 jo. PMK Nomor 9 Tahun 2026</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2025/2026</w:t>
            </w:r>
          </w:p>
        </w:tc>
        <w:tc>
          <w:tcPr>
            <w:tcW w:type="dxa" w:w="4535"/>
            <w:vAlign w:val="top"/>
          </w:tcPr>
          <w:p>
            <w:r/>
            <w:r>
              <w:rPr>
                <w:rFonts w:ascii="Times New Roman" w:hAnsi="Times New Roman"/>
                <w:sz w:val="14"/>
              </w:rPr>
              <w:t>Basis tarif layanan BLU Badan Pengelola Dana Perkebunan dan perubahannya.</w:t>
            </w:r>
          </w:p>
        </w:tc>
        <w:tc>
          <w:tcPr>
            <w:tcW w:type="dxa" w:w="5102"/>
            <w:vAlign w:val="top"/>
          </w:tcPr>
          <w:p>
            <w:r/>
            <w:hyperlink r:id="rId35">
              <w:r>
                <w:rPr>
                  <w:color w:val="0563C1"/>
                  <w:u w:val="single"/>
                </w:rPr>
                <w:t>https://jdih.kemenkeu.go.id/dok/pmk-69-tahun-2025/view</w:t>
              </w:r>
            </w:hyperlink>
          </w:p>
        </w:tc>
      </w:tr>
      <w:tr>
        <w:trPr>
          <w:cantSplit/>
        </w:trPr>
        <w:tc>
          <w:tcPr>
            <w:tcW w:type="dxa" w:w="964"/>
            <w:vAlign w:val="top"/>
          </w:tcPr>
          <w:p>
            <w:r/>
            <w:r>
              <w:rPr>
                <w:rFonts w:ascii="Times New Roman" w:hAnsi="Times New Roman"/>
                <w:sz w:val="14"/>
              </w:rPr>
              <w:t>IV-10</w:t>
            </w:r>
          </w:p>
        </w:tc>
        <w:tc>
          <w:tcPr>
            <w:tcW w:type="dxa" w:w="1134"/>
            <w:vAlign w:val="top"/>
          </w:tcPr>
          <w:p>
            <w:r/>
            <w:r>
              <w:rPr>
                <w:rFonts w:ascii="Times New Roman" w:hAnsi="Times New Roman"/>
                <w:sz w:val="14"/>
              </w:rPr>
              <w:t>Bab IV</w:t>
            </w:r>
          </w:p>
        </w:tc>
        <w:tc>
          <w:tcPr>
            <w:tcW w:type="dxa" w:w="5102"/>
            <w:vAlign w:val="top"/>
          </w:tcPr>
          <w:p>
            <w:r/>
            <w:r>
              <w:rPr>
                <w:rFonts w:ascii="Times New Roman" w:hAnsi="Times New Roman"/>
                <w:sz w:val="14"/>
              </w:rPr>
              <w:t>Inpres Nomor 8 Tahun 2018</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2018</w:t>
            </w:r>
          </w:p>
        </w:tc>
        <w:tc>
          <w:tcPr>
            <w:tcW w:type="dxa" w:w="4535"/>
            <w:vAlign w:val="top"/>
          </w:tcPr>
          <w:p>
            <w:r/>
            <w:r>
              <w:rPr>
                <w:rFonts w:ascii="Times New Roman" w:hAnsi="Times New Roman"/>
                <w:sz w:val="14"/>
              </w:rPr>
              <w:t>Preseden penundaan/evaluasi perizinan sawit dan peningkatan produktivitas.</w:t>
            </w:r>
          </w:p>
        </w:tc>
        <w:tc>
          <w:tcPr>
            <w:tcW w:type="dxa" w:w="5102"/>
            <w:vAlign w:val="top"/>
          </w:tcPr>
          <w:p>
            <w:r/>
            <w:hyperlink r:id="rId36">
              <w:r>
                <w:rPr>
                  <w:color w:val="0563C1"/>
                  <w:u w:val="single"/>
                </w:rPr>
                <w:t>https://peraturan.bpk.go.id/Details/92813/inpres-no-8-tahun-2018</w:t>
              </w:r>
            </w:hyperlink>
          </w:p>
        </w:tc>
      </w:tr>
      <w:tr>
        <w:trPr>
          <w:cantSplit/>
        </w:trPr>
        <w:tc>
          <w:tcPr>
            <w:tcW w:type="dxa" w:w="964"/>
            <w:vAlign w:val="top"/>
          </w:tcPr>
          <w:p>
            <w:r/>
            <w:r>
              <w:rPr>
                <w:rFonts w:ascii="Times New Roman" w:hAnsi="Times New Roman"/>
                <w:sz w:val="14"/>
              </w:rPr>
              <w:t>IV-11</w:t>
            </w:r>
          </w:p>
        </w:tc>
        <w:tc>
          <w:tcPr>
            <w:tcW w:type="dxa" w:w="1134"/>
            <w:vAlign w:val="top"/>
          </w:tcPr>
          <w:p>
            <w:r/>
            <w:r>
              <w:rPr>
                <w:rFonts w:ascii="Times New Roman" w:hAnsi="Times New Roman"/>
                <w:sz w:val="14"/>
              </w:rPr>
              <w:t>Bab IV</w:t>
            </w:r>
          </w:p>
        </w:tc>
        <w:tc>
          <w:tcPr>
            <w:tcW w:type="dxa" w:w="5102"/>
            <w:vAlign w:val="top"/>
          </w:tcPr>
          <w:p>
            <w:r/>
            <w:r>
              <w:rPr>
                <w:rFonts w:ascii="Times New Roman" w:hAnsi="Times New Roman"/>
                <w:sz w:val="14"/>
              </w:rPr>
              <w:t>Asumsi dan perhitungan penulis</w:t>
            </w:r>
          </w:p>
        </w:tc>
        <w:tc>
          <w:tcPr>
            <w:tcW w:type="dxa" w:w="1984"/>
            <w:vAlign w:val="top"/>
          </w:tcPr>
          <w:p>
            <w:r/>
            <w:r>
              <w:rPr>
                <w:rFonts w:ascii="Times New Roman" w:hAnsi="Times New Roman"/>
                <w:sz w:val="14"/>
              </w:rPr>
              <w:t>ILUSTRASI/DERIVED</w:t>
            </w:r>
          </w:p>
        </w:tc>
        <w:tc>
          <w:tcPr>
            <w:tcW w:type="dxa" w:w="1417"/>
            <w:vAlign w:val="top"/>
          </w:tcPr>
          <w:p>
            <w:r/>
            <w:r>
              <w:rPr>
                <w:rFonts w:ascii="Times New Roman" w:hAnsi="Times New Roman"/>
                <w:sz w:val="14"/>
              </w:rPr>
              <w:t>2026</w:t>
            </w:r>
          </w:p>
        </w:tc>
        <w:tc>
          <w:tcPr>
            <w:tcW w:type="dxa" w:w="4535"/>
            <w:vAlign w:val="top"/>
          </w:tcPr>
          <w:p>
            <w:r/>
            <w:r>
              <w:rPr>
                <w:rFonts w:ascii="Times New Roman" w:hAnsi="Times New Roman"/>
                <w:sz w:val="14"/>
              </w:rPr>
              <w:t>Economic rent, normal return/risk premium dan pembagian simulatif bukan angka BPS, bukan tarif, bukan kewajiban fiskal.</w:t>
            </w:r>
          </w:p>
        </w:tc>
        <w:tc>
          <w:tcPr>
            <w:tcW w:type="dxa" w:w="5102"/>
            <w:vAlign w:val="top"/>
          </w:tcPr>
          <w:p>
            <w:r/>
            <w:r>
              <w:rPr>
                <w:rFonts w:ascii="Times New Roman" w:hAnsi="Times New Roman"/>
                <w:sz w:val="14"/>
              </w:rPr>
              <w:t>—</w:t>
            </w:r>
          </w:p>
        </w:tc>
      </w:tr>
      <w:tr>
        <w:trPr>
          <w:cantSplit/>
        </w:trPr>
        <w:tc>
          <w:tcPr>
            <w:tcW w:type="dxa" w:w="964"/>
            <w:vAlign w:val="top"/>
          </w:tcPr>
          <w:p>
            <w:r/>
            <w:r>
              <w:rPr>
                <w:rFonts w:ascii="Times New Roman" w:hAnsi="Times New Roman"/>
                <w:sz w:val="14"/>
              </w:rPr>
              <w:t>V-01</w:t>
            </w:r>
          </w:p>
        </w:tc>
        <w:tc>
          <w:tcPr>
            <w:tcW w:type="dxa" w:w="1134"/>
            <w:vAlign w:val="top"/>
          </w:tcPr>
          <w:p>
            <w:r/>
            <w:r>
              <w:rPr>
                <w:rFonts w:ascii="Times New Roman" w:hAnsi="Times New Roman"/>
                <w:sz w:val="14"/>
              </w:rPr>
              <w:t>Bab V</w:t>
            </w:r>
          </w:p>
        </w:tc>
        <w:tc>
          <w:tcPr>
            <w:tcW w:type="dxa" w:w="5102"/>
            <w:vAlign w:val="top"/>
          </w:tcPr>
          <w:p>
            <w:r/>
            <w:r>
              <w:rPr>
                <w:rFonts w:ascii="Times New Roman" w:hAnsi="Times New Roman"/>
                <w:sz w:val="14"/>
              </w:rPr>
              <w:t>BPS - Sisnerling 2020-2024</w:t>
            </w:r>
          </w:p>
        </w:tc>
        <w:tc>
          <w:tcPr>
            <w:tcW w:type="dxa" w:w="1984"/>
            <w:vAlign w:val="top"/>
          </w:tcPr>
          <w:p>
            <w:r/>
            <w:r>
              <w:rPr>
                <w:rFonts w:ascii="Times New Roman" w:hAnsi="Times New Roman"/>
                <w:sz w:val="14"/>
              </w:rPr>
              <w:t>DATA PUBLIK RESMI</w:t>
            </w:r>
          </w:p>
        </w:tc>
        <w:tc>
          <w:tcPr>
            <w:tcW w:type="dxa" w:w="1417"/>
            <w:vAlign w:val="top"/>
          </w:tcPr>
          <w:p>
            <w:r/>
            <w:r>
              <w:rPr>
                <w:rFonts w:ascii="Times New Roman" w:hAnsi="Times New Roman"/>
                <w:sz w:val="14"/>
              </w:rPr>
              <w:t>2024 data / rilis 2025</w:t>
            </w:r>
          </w:p>
        </w:tc>
        <w:tc>
          <w:tcPr>
            <w:tcW w:type="dxa" w:w="4535"/>
            <w:vAlign w:val="top"/>
          </w:tcPr>
          <w:p>
            <w:r/>
            <w:r>
              <w:rPr>
                <w:rFonts w:ascii="Times New Roman" w:hAnsi="Times New Roman"/>
                <w:sz w:val="14"/>
              </w:rPr>
              <w:t>Basis pembacaan aset sumber daya secara statistik dan perubahan stok/nilai.</w:t>
            </w:r>
          </w:p>
        </w:tc>
        <w:tc>
          <w:tcPr>
            <w:tcW w:type="dxa" w:w="5102"/>
            <w:vAlign w:val="top"/>
          </w:tcPr>
          <w:p>
            <w:r/>
            <w:hyperlink r:id="rId27">
              <w:r>
                <w:rPr>
                  <w:color w:val="0563C1"/>
                  <w:u w:val="single"/>
                </w:rPr>
                <w:t>https://www.bps.go.id/id/publication/2025/12/30/48e29af53d4127452b148791/sistem-terintegrasi-neraca-lingkungan-dan-ekonomi-indonesia-2020-2024.html</w:t>
              </w:r>
            </w:hyperlink>
          </w:p>
        </w:tc>
      </w:tr>
      <w:tr>
        <w:trPr>
          <w:cantSplit/>
        </w:trPr>
        <w:tc>
          <w:tcPr>
            <w:tcW w:type="dxa" w:w="964"/>
            <w:vAlign w:val="top"/>
          </w:tcPr>
          <w:p>
            <w:r/>
            <w:r>
              <w:rPr>
                <w:rFonts w:ascii="Times New Roman" w:hAnsi="Times New Roman"/>
                <w:sz w:val="14"/>
              </w:rPr>
              <w:t>V-02</w:t>
            </w:r>
          </w:p>
        </w:tc>
        <w:tc>
          <w:tcPr>
            <w:tcW w:type="dxa" w:w="1134"/>
            <w:vAlign w:val="top"/>
          </w:tcPr>
          <w:p>
            <w:r/>
            <w:r>
              <w:rPr>
                <w:rFonts w:ascii="Times New Roman" w:hAnsi="Times New Roman"/>
                <w:sz w:val="14"/>
              </w:rPr>
              <w:t>Bab V</w:t>
            </w:r>
          </w:p>
        </w:tc>
        <w:tc>
          <w:tcPr>
            <w:tcW w:type="dxa" w:w="5102"/>
            <w:vAlign w:val="top"/>
          </w:tcPr>
          <w:p>
            <w:r/>
            <w:r>
              <w:rPr>
                <w:rFonts w:ascii="Times New Roman" w:hAnsi="Times New Roman"/>
                <w:sz w:val="14"/>
              </w:rPr>
              <w:t>PMK Nomor 100 Tahun 2025</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2025</w:t>
            </w:r>
          </w:p>
        </w:tc>
        <w:tc>
          <w:tcPr>
            <w:tcW w:type="dxa" w:w="4535"/>
            <w:vAlign w:val="top"/>
          </w:tcPr>
          <w:p>
            <w:r/>
            <w:r>
              <w:rPr>
                <w:rFonts w:ascii="Times New Roman" w:hAnsi="Times New Roman"/>
                <w:sz w:val="14"/>
              </w:rPr>
              <w:t>Basis kebijakan akuntansi pusat dan penyajian/pengungkapan terkait.</w:t>
            </w:r>
          </w:p>
        </w:tc>
        <w:tc>
          <w:tcPr>
            <w:tcW w:type="dxa" w:w="5102"/>
            <w:vAlign w:val="top"/>
          </w:tcPr>
          <w:p>
            <w:r/>
            <w:hyperlink r:id="rId16">
              <w:r>
                <w:rPr>
                  <w:color w:val="0563C1"/>
                  <w:u w:val="single"/>
                </w:rPr>
                <w:t>https://jdih.kemenkeu.go.id/dok/pmk-100-tahun-2025</w:t>
              </w:r>
            </w:hyperlink>
          </w:p>
        </w:tc>
      </w:tr>
      <w:tr>
        <w:trPr>
          <w:cantSplit/>
        </w:trPr>
        <w:tc>
          <w:tcPr>
            <w:tcW w:type="dxa" w:w="964"/>
            <w:vAlign w:val="top"/>
          </w:tcPr>
          <w:p>
            <w:r/>
            <w:r>
              <w:rPr>
                <w:rFonts w:ascii="Times New Roman" w:hAnsi="Times New Roman"/>
                <w:sz w:val="14"/>
              </w:rPr>
              <w:t>V-03</w:t>
            </w:r>
          </w:p>
        </w:tc>
        <w:tc>
          <w:tcPr>
            <w:tcW w:type="dxa" w:w="1134"/>
            <w:vAlign w:val="top"/>
          </w:tcPr>
          <w:p>
            <w:r/>
            <w:r>
              <w:rPr>
                <w:rFonts w:ascii="Times New Roman" w:hAnsi="Times New Roman"/>
                <w:sz w:val="14"/>
              </w:rPr>
              <w:t>Bab V</w:t>
            </w:r>
          </w:p>
        </w:tc>
        <w:tc>
          <w:tcPr>
            <w:tcW w:type="dxa" w:w="5102"/>
            <w:vAlign w:val="top"/>
          </w:tcPr>
          <w:p>
            <w:r/>
            <w:r>
              <w:rPr>
                <w:rFonts w:ascii="Times New Roman" w:hAnsi="Times New Roman"/>
                <w:sz w:val="14"/>
              </w:rPr>
              <w:t>IPSAS 51, Tangible Natural Resources Held for Conservation</w:t>
            </w:r>
          </w:p>
        </w:tc>
        <w:tc>
          <w:tcPr>
            <w:tcW w:type="dxa" w:w="1984"/>
            <w:vAlign w:val="top"/>
          </w:tcPr>
          <w:p>
            <w:r/>
            <w:r>
              <w:rPr>
                <w:rFonts w:ascii="Times New Roman" w:hAnsi="Times New Roman"/>
                <w:sz w:val="14"/>
              </w:rPr>
              <w:t>STANDAR INTERNASIONAL</w:t>
            </w:r>
          </w:p>
        </w:tc>
        <w:tc>
          <w:tcPr>
            <w:tcW w:type="dxa" w:w="1417"/>
            <w:vAlign w:val="top"/>
          </w:tcPr>
          <w:p>
            <w:r/>
            <w:r>
              <w:rPr>
                <w:rFonts w:ascii="Times New Roman" w:hAnsi="Times New Roman"/>
                <w:sz w:val="14"/>
              </w:rPr>
              <w:t>2026</w:t>
            </w:r>
          </w:p>
        </w:tc>
        <w:tc>
          <w:tcPr>
            <w:tcW w:type="dxa" w:w="4535"/>
            <w:vAlign w:val="top"/>
          </w:tcPr>
          <w:p>
            <w:r/>
            <w:r>
              <w:rPr>
                <w:rFonts w:ascii="Times New Roman" w:hAnsi="Times New Roman"/>
                <w:sz w:val="14"/>
              </w:rPr>
              <w:t>Pembanding internasional untuk natural resources; tidak otomatis menjadi SAP Indonesia.</w:t>
            </w:r>
          </w:p>
        </w:tc>
        <w:tc>
          <w:tcPr>
            <w:tcW w:type="dxa" w:w="5102"/>
            <w:vAlign w:val="top"/>
          </w:tcPr>
          <w:p>
            <w:r/>
            <w:hyperlink r:id="rId37">
              <w:r>
                <w:rPr>
                  <w:color w:val="0563C1"/>
                  <w:u w:val="single"/>
                </w:rPr>
                <w:t>https://www.ipsasb.org/publications/ipsas-51-tangible-natural-resources-held-conservation</w:t>
              </w:r>
            </w:hyperlink>
          </w:p>
        </w:tc>
      </w:tr>
      <w:tr>
        <w:trPr>
          <w:cantSplit/>
        </w:trPr>
        <w:tc>
          <w:tcPr>
            <w:tcW w:type="dxa" w:w="964"/>
            <w:vAlign w:val="top"/>
          </w:tcPr>
          <w:p>
            <w:r/>
            <w:r>
              <w:rPr>
                <w:rFonts w:ascii="Times New Roman" w:hAnsi="Times New Roman"/>
                <w:sz w:val="14"/>
              </w:rPr>
              <w:t>V-04</w:t>
            </w:r>
          </w:p>
        </w:tc>
        <w:tc>
          <w:tcPr>
            <w:tcW w:type="dxa" w:w="1134"/>
            <w:vAlign w:val="top"/>
          </w:tcPr>
          <w:p>
            <w:r/>
            <w:r>
              <w:rPr>
                <w:rFonts w:ascii="Times New Roman" w:hAnsi="Times New Roman"/>
                <w:sz w:val="14"/>
              </w:rPr>
              <w:t>Bab V</w:t>
            </w:r>
          </w:p>
        </w:tc>
        <w:tc>
          <w:tcPr>
            <w:tcW w:type="dxa" w:w="5102"/>
            <w:vAlign w:val="top"/>
          </w:tcPr>
          <w:p>
            <w:r/>
            <w:r>
              <w:rPr>
                <w:rFonts w:ascii="Times New Roman" w:hAnsi="Times New Roman"/>
                <w:sz w:val="14"/>
              </w:rPr>
              <w:t>IPSAS 39, Employee Benefits</w:t>
            </w:r>
          </w:p>
        </w:tc>
        <w:tc>
          <w:tcPr>
            <w:tcW w:type="dxa" w:w="1984"/>
            <w:vAlign w:val="top"/>
          </w:tcPr>
          <w:p>
            <w:r/>
            <w:r>
              <w:rPr>
                <w:rFonts w:ascii="Times New Roman" w:hAnsi="Times New Roman"/>
                <w:sz w:val="14"/>
              </w:rPr>
              <w:t>STANDAR INTERNASIONAL</w:t>
            </w:r>
          </w:p>
        </w:tc>
        <w:tc>
          <w:tcPr>
            <w:tcW w:type="dxa" w:w="1417"/>
            <w:vAlign w:val="top"/>
          </w:tcPr>
          <w:p>
            <w:r/>
            <w:r>
              <w:rPr>
                <w:rFonts w:ascii="Times New Roman" w:hAnsi="Times New Roman"/>
                <w:sz w:val="14"/>
              </w:rPr>
              <w:t>2016/current</w:t>
            </w:r>
          </w:p>
        </w:tc>
        <w:tc>
          <w:tcPr>
            <w:tcW w:type="dxa" w:w="4535"/>
            <w:vAlign w:val="top"/>
          </w:tcPr>
          <w:p>
            <w:r/>
            <w:r>
              <w:rPr>
                <w:rFonts w:ascii="Times New Roman" w:hAnsi="Times New Roman"/>
                <w:sz w:val="14"/>
              </w:rPr>
              <w:t>Pembanding konseptual kewajiban imbalan kerja/pensiun; bukan standar domestik.</w:t>
            </w:r>
          </w:p>
        </w:tc>
        <w:tc>
          <w:tcPr>
            <w:tcW w:type="dxa" w:w="5102"/>
            <w:vAlign w:val="top"/>
          </w:tcPr>
          <w:p>
            <w:r/>
            <w:hyperlink r:id="rId38">
              <w:r>
                <w:rPr>
                  <w:color w:val="0563C1"/>
                  <w:u w:val="single"/>
                </w:rPr>
                <w:t>https://www.ipsasb.org/publications/ipsas-39-employee-benefits-2</w:t>
              </w:r>
            </w:hyperlink>
          </w:p>
        </w:tc>
      </w:tr>
      <w:tr>
        <w:trPr>
          <w:cantSplit/>
        </w:trPr>
        <w:tc>
          <w:tcPr>
            <w:tcW w:type="dxa" w:w="964"/>
            <w:vAlign w:val="top"/>
          </w:tcPr>
          <w:p>
            <w:r/>
            <w:r>
              <w:rPr>
                <w:rFonts w:ascii="Times New Roman" w:hAnsi="Times New Roman"/>
                <w:sz w:val="14"/>
              </w:rPr>
              <w:t>V-05</w:t>
            </w:r>
          </w:p>
        </w:tc>
        <w:tc>
          <w:tcPr>
            <w:tcW w:type="dxa" w:w="1134"/>
            <w:vAlign w:val="top"/>
          </w:tcPr>
          <w:p>
            <w:r/>
            <w:r>
              <w:rPr>
                <w:rFonts w:ascii="Times New Roman" w:hAnsi="Times New Roman"/>
                <w:sz w:val="14"/>
              </w:rPr>
              <w:t>Bab V</w:t>
            </w:r>
          </w:p>
        </w:tc>
        <w:tc>
          <w:tcPr>
            <w:tcW w:type="dxa" w:w="5102"/>
            <w:vAlign w:val="top"/>
          </w:tcPr>
          <w:p>
            <w:r/>
            <w:r>
              <w:rPr>
                <w:rFonts w:ascii="Times New Roman" w:hAnsi="Times New Roman"/>
                <w:sz w:val="14"/>
              </w:rPr>
              <w:t>IMF Fiscal Monitor October 2018 - Managing Public Wealth</w:t>
            </w:r>
          </w:p>
        </w:tc>
        <w:tc>
          <w:tcPr>
            <w:tcW w:type="dxa" w:w="1984"/>
            <w:vAlign w:val="top"/>
          </w:tcPr>
          <w:p>
            <w:r/>
            <w:r>
              <w:rPr>
                <w:rFonts w:ascii="Times New Roman" w:hAnsi="Times New Roman"/>
                <w:sz w:val="14"/>
              </w:rPr>
              <w:t>REFERENSI KONSEPTUAL PRIMER</w:t>
            </w:r>
          </w:p>
        </w:tc>
        <w:tc>
          <w:tcPr>
            <w:tcW w:type="dxa" w:w="1417"/>
            <w:vAlign w:val="top"/>
          </w:tcPr>
          <w:p>
            <w:r/>
            <w:r>
              <w:rPr>
                <w:rFonts w:ascii="Times New Roman" w:hAnsi="Times New Roman"/>
                <w:sz w:val="14"/>
              </w:rPr>
              <w:t>2018</w:t>
            </w:r>
          </w:p>
        </w:tc>
        <w:tc>
          <w:tcPr>
            <w:tcW w:type="dxa" w:w="4535"/>
            <w:vAlign w:val="top"/>
          </w:tcPr>
          <w:p>
            <w:r/>
            <w:r>
              <w:rPr>
                <w:rFonts w:ascii="Times New Roman" w:hAnsi="Times New Roman"/>
                <w:sz w:val="14"/>
              </w:rPr>
              <w:t>Pembanding public sector balance sheet, aset, natural resources dan pension liabilities.</w:t>
            </w:r>
          </w:p>
        </w:tc>
        <w:tc>
          <w:tcPr>
            <w:tcW w:type="dxa" w:w="5102"/>
            <w:vAlign w:val="top"/>
          </w:tcPr>
          <w:p>
            <w:r/>
            <w:hyperlink r:id="rId39">
              <w:r>
                <w:rPr>
                  <w:color w:val="0563C1"/>
                  <w:u w:val="single"/>
                </w:rPr>
                <w:t>https://www.imf.org/en/publications/fm/issues/2018/10/04/fiscal-monitor-october-2018</w:t>
              </w:r>
            </w:hyperlink>
          </w:p>
        </w:tc>
      </w:tr>
      <w:tr>
        <w:trPr>
          <w:cantSplit/>
        </w:trPr>
        <w:tc>
          <w:tcPr>
            <w:tcW w:type="dxa" w:w="964"/>
            <w:vAlign w:val="top"/>
          </w:tcPr>
          <w:p>
            <w:r/>
            <w:r>
              <w:rPr>
                <w:rFonts w:ascii="Times New Roman" w:hAnsi="Times New Roman"/>
                <w:sz w:val="14"/>
              </w:rPr>
              <w:t>V-06</w:t>
            </w:r>
          </w:p>
        </w:tc>
        <w:tc>
          <w:tcPr>
            <w:tcW w:type="dxa" w:w="1134"/>
            <w:vAlign w:val="top"/>
          </w:tcPr>
          <w:p>
            <w:r/>
            <w:r>
              <w:rPr>
                <w:rFonts w:ascii="Times New Roman" w:hAnsi="Times New Roman"/>
                <w:sz w:val="14"/>
              </w:rPr>
              <w:t>Bab V</w:t>
            </w:r>
          </w:p>
        </w:tc>
        <w:tc>
          <w:tcPr>
            <w:tcW w:type="dxa" w:w="5102"/>
            <w:vAlign w:val="top"/>
          </w:tcPr>
          <w:p>
            <w:r/>
            <w:r>
              <w:rPr>
                <w:rFonts w:ascii="Times New Roman" w:hAnsi="Times New Roman"/>
                <w:sz w:val="14"/>
              </w:rPr>
              <w:t>Kerangka penulis</w:t>
            </w:r>
          </w:p>
        </w:tc>
        <w:tc>
          <w:tcPr>
            <w:tcW w:type="dxa" w:w="1984"/>
            <w:vAlign w:val="top"/>
          </w:tcPr>
          <w:p>
            <w:r/>
            <w:r>
              <w:rPr>
                <w:rFonts w:ascii="Times New Roman" w:hAnsi="Times New Roman"/>
                <w:sz w:val="14"/>
              </w:rPr>
              <w:t>KERANGKA PENULIS</w:t>
            </w:r>
          </w:p>
        </w:tc>
        <w:tc>
          <w:tcPr>
            <w:tcW w:type="dxa" w:w="1417"/>
            <w:vAlign w:val="top"/>
          </w:tcPr>
          <w:p>
            <w:r/>
            <w:r>
              <w:rPr>
                <w:rFonts w:ascii="Times New Roman" w:hAnsi="Times New Roman"/>
                <w:sz w:val="14"/>
              </w:rPr>
              <w:t>2026</w:t>
            </w:r>
          </w:p>
        </w:tc>
        <w:tc>
          <w:tcPr>
            <w:tcW w:type="dxa" w:w="4535"/>
            <w:vAlign w:val="top"/>
          </w:tcPr>
          <w:p>
            <w:r/>
            <w:r>
              <w:rPr>
                <w:rFonts w:ascii="Times New Roman" w:hAnsi="Times New Roman"/>
                <w:sz w:val="14"/>
              </w:rPr>
              <w:t>Analytical bridge; bukan identity akuntansi SAP. Eliminasi double counting wajib.</w:t>
            </w:r>
          </w:p>
        </w:tc>
        <w:tc>
          <w:tcPr>
            <w:tcW w:type="dxa" w:w="5102"/>
            <w:vAlign w:val="top"/>
          </w:tcPr>
          <w:p>
            <w:r/>
            <w:r>
              <w:rPr>
                <w:rFonts w:ascii="Times New Roman" w:hAnsi="Times New Roman"/>
                <w:sz w:val="14"/>
              </w:rPr>
              <w:t>—</w:t>
            </w:r>
          </w:p>
        </w:tc>
      </w:tr>
      <w:tr>
        <w:trPr>
          <w:cantSplit/>
        </w:trPr>
        <w:tc>
          <w:tcPr>
            <w:tcW w:type="dxa" w:w="964"/>
            <w:vAlign w:val="top"/>
          </w:tcPr>
          <w:p>
            <w:r/>
            <w:r>
              <w:rPr>
                <w:rFonts w:ascii="Times New Roman" w:hAnsi="Times New Roman"/>
                <w:sz w:val="14"/>
              </w:rPr>
              <w:t>VI-01</w:t>
            </w:r>
          </w:p>
        </w:tc>
        <w:tc>
          <w:tcPr>
            <w:tcW w:type="dxa" w:w="1134"/>
            <w:vAlign w:val="top"/>
          </w:tcPr>
          <w:p>
            <w:r/>
            <w:r>
              <w:rPr>
                <w:rFonts w:ascii="Times New Roman" w:hAnsi="Times New Roman"/>
                <w:sz w:val="14"/>
              </w:rPr>
              <w:t>Bab VI</w:t>
            </w:r>
          </w:p>
        </w:tc>
        <w:tc>
          <w:tcPr>
            <w:tcW w:type="dxa" w:w="5102"/>
            <w:vAlign w:val="top"/>
          </w:tcPr>
          <w:p>
            <w:r/>
            <w:r>
              <w:rPr>
                <w:rFonts w:ascii="Times New Roman" w:hAnsi="Times New Roman"/>
                <w:sz w:val="14"/>
              </w:rPr>
              <w:t>Kementerian Keuangan - RUU APBN 2027 Resmi Disahkan, 29 September 2026</w:t>
            </w:r>
          </w:p>
        </w:tc>
        <w:tc>
          <w:tcPr>
            <w:tcW w:type="dxa" w:w="1984"/>
            <w:vAlign w:val="top"/>
          </w:tcPr>
          <w:p>
            <w:r/>
            <w:r>
              <w:rPr>
                <w:rFonts w:ascii="Times New Roman" w:hAnsi="Times New Roman"/>
                <w:sz w:val="14"/>
              </w:rPr>
              <w:t>DATA PUBLIK RESMI</w:t>
            </w:r>
          </w:p>
        </w:tc>
        <w:tc>
          <w:tcPr>
            <w:tcW w:type="dxa" w:w="1417"/>
            <w:vAlign w:val="top"/>
          </w:tcPr>
          <w:p>
            <w:r/>
            <w:r>
              <w:rPr>
                <w:rFonts w:ascii="Times New Roman" w:hAnsi="Times New Roman"/>
                <w:sz w:val="14"/>
              </w:rPr>
              <w:t>2027 APBN / rilis 2026</w:t>
            </w:r>
          </w:p>
        </w:tc>
        <w:tc>
          <w:tcPr>
            <w:tcW w:type="dxa" w:w="4535"/>
            <w:vAlign w:val="top"/>
          </w:tcPr>
          <w:p>
            <w:r/>
            <w:r>
              <w:rPr>
                <w:rFonts w:ascii="Times New Roman" w:hAnsi="Times New Roman"/>
                <w:sz w:val="14"/>
              </w:rPr>
              <w:t>Basis pendapatan Rp3.435,1T, belanja Rp4.106,3T, pembiayaan Rp671,2T, defisit 2,4% PDB dalam buku.</w:t>
            </w:r>
          </w:p>
        </w:tc>
        <w:tc>
          <w:tcPr>
            <w:tcW w:type="dxa" w:w="5102"/>
            <w:vAlign w:val="top"/>
          </w:tcPr>
          <w:p>
            <w:r/>
            <w:hyperlink r:id="rId40">
              <w:r>
                <w:rPr>
                  <w:color w:val="0563C1"/>
                  <w:u w:val="single"/>
                </w:rPr>
                <w:t>https://www.kemenkeu.go.id/informasi-publik/publikasi/berita-utama/Menkeu-Suahasil-Rapur-RUU-APBN-2027</w:t>
              </w:r>
            </w:hyperlink>
          </w:p>
        </w:tc>
      </w:tr>
      <w:tr>
        <w:trPr>
          <w:cantSplit/>
        </w:trPr>
        <w:tc>
          <w:tcPr>
            <w:tcW w:type="dxa" w:w="964"/>
            <w:vAlign w:val="top"/>
          </w:tcPr>
          <w:p>
            <w:r/>
            <w:r>
              <w:rPr>
                <w:rFonts w:ascii="Times New Roman" w:hAnsi="Times New Roman"/>
                <w:sz w:val="14"/>
              </w:rPr>
              <w:t>VI-02</w:t>
            </w:r>
          </w:p>
        </w:tc>
        <w:tc>
          <w:tcPr>
            <w:tcW w:type="dxa" w:w="1134"/>
            <w:vAlign w:val="top"/>
          </w:tcPr>
          <w:p>
            <w:r/>
            <w:r>
              <w:rPr>
                <w:rFonts w:ascii="Times New Roman" w:hAnsi="Times New Roman"/>
                <w:sz w:val="14"/>
              </w:rPr>
              <w:t>Bab VI</w:t>
            </w:r>
          </w:p>
        </w:tc>
        <w:tc>
          <w:tcPr>
            <w:tcW w:type="dxa" w:w="5102"/>
            <w:vAlign w:val="top"/>
          </w:tcPr>
          <w:p>
            <w:r/>
            <w:r>
              <w:rPr>
                <w:rFonts w:ascii="Times New Roman" w:hAnsi="Times New Roman"/>
                <w:sz w:val="14"/>
              </w:rPr>
              <w:t>IMF - PIMA Handbook: Public Investment Management Assessment, 1st Edition</w:t>
            </w:r>
          </w:p>
        </w:tc>
        <w:tc>
          <w:tcPr>
            <w:tcW w:type="dxa" w:w="1984"/>
            <w:vAlign w:val="top"/>
          </w:tcPr>
          <w:p>
            <w:r/>
            <w:r>
              <w:rPr>
                <w:rFonts w:ascii="Times New Roman" w:hAnsi="Times New Roman"/>
                <w:sz w:val="14"/>
              </w:rPr>
              <w:t>REFERENSI KONSEPTUAL PRIMER</w:t>
            </w:r>
          </w:p>
        </w:tc>
        <w:tc>
          <w:tcPr>
            <w:tcW w:type="dxa" w:w="1417"/>
            <w:vAlign w:val="top"/>
          </w:tcPr>
          <w:p>
            <w:r/>
            <w:r>
              <w:rPr>
                <w:rFonts w:ascii="Times New Roman" w:hAnsi="Times New Roman"/>
                <w:sz w:val="14"/>
              </w:rPr>
              <w:t>2022</w:t>
            </w:r>
          </w:p>
        </w:tc>
        <w:tc>
          <w:tcPr>
            <w:tcW w:type="dxa" w:w="4535"/>
            <w:vAlign w:val="top"/>
          </w:tcPr>
          <w:p>
            <w:r/>
            <w:r>
              <w:rPr>
                <w:rFonts w:ascii="Times New Roman" w:hAnsi="Times New Roman"/>
                <w:sz w:val="14"/>
              </w:rPr>
              <w:t>Landasan pembanding tata kelola investasi publik dan siklus proyek.</w:t>
            </w:r>
          </w:p>
        </w:tc>
        <w:tc>
          <w:tcPr>
            <w:tcW w:type="dxa" w:w="5102"/>
            <w:vAlign w:val="top"/>
          </w:tcPr>
          <w:p>
            <w:r/>
            <w:hyperlink r:id="rId41">
              <w:r>
                <w:rPr>
                  <w:color w:val="0563C1"/>
                  <w:u w:val="single"/>
                </w:rPr>
                <w:t>https://www.imf.org/en/publications/books/issues/2022/07/12/pima-handbook-public-investment-management-assessment-1st-edition-50166</w:t>
              </w:r>
            </w:hyperlink>
          </w:p>
        </w:tc>
      </w:tr>
      <w:tr>
        <w:trPr>
          <w:cantSplit/>
        </w:trPr>
        <w:tc>
          <w:tcPr>
            <w:tcW w:type="dxa" w:w="964"/>
            <w:vAlign w:val="top"/>
          </w:tcPr>
          <w:p>
            <w:r/>
            <w:r>
              <w:rPr>
                <w:rFonts w:ascii="Times New Roman" w:hAnsi="Times New Roman"/>
                <w:sz w:val="14"/>
              </w:rPr>
              <w:t>VI-03</w:t>
            </w:r>
          </w:p>
        </w:tc>
        <w:tc>
          <w:tcPr>
            <w:tcW w:type="dxa" w:w="1134"/>
            <w:vAlign w:val="top"/>
          </w:tcPr>
          <w:p>
            <w:r/>
            <w:r>
              <w:rPr>
                <w:rFonts w:ascii="Times New Roman" w:hAnsi="Times New Roman"/>
                <w:sz w:val="14"/>
              </w:rPr>
              <w:t>Bab VI</w:t>
            </w:r>
          </w:p>
        </w:tc>
        <w:tc>
          <w:tcPr>
            <w:tcW w:type="dxa" w:w="5102"/>
            <w:vAlign w:val="top"/>
          </w:tcPr>
          <w:p>
            <w:r/>
            <w:r>
              <w:rPr>
                <w:rFonts w:ascii="Times New Roman" w:hAnsi="Times New Roman"/>
                <w:sz w:val="14"/>
              </w:rPr>
              <w:t>IMF Infrastructure Governance - PIMA</w:t>
            </w:r>
          </w:p>
        </w:tc>
        <w:tc>
          <w:tcPr>
            <w:tcW w:type="dxa" w:w="1984"/>
            <w:vAlign w:val="top"/>
          </w:tcPr>
          <w:p>
            <w:r/>
            <w:r>
              <w:rPr>
                <w:rFonts w:ascii="Times New Roman" w:hAnsi="Times New Roman"/>
                <w:sz w:val="14"/>
              </w:rPr>
              <w:t>REFERENSI KONSEPTUAL PRIMER</w:t>
            </w:r>
          </w:p>
        </w:tc>
        <w:tc>
          <w:tcPr>
            <w:tcW w:type="dxa" w:w="1417"/>
            <w:vAlign w:val="top"/>
          </w:tcPr>
          <w:p>
            <w:r/>
            <w:r>
              <w:rPr>
                <w:rFonts w:ascii="Times New Roman" w:hAnsi="Times New Roman"/>
                <w:sz w:val="14"/>
              </w:rPr>
              <w:t>Current</w:t>
            </w:r>
          </w:p>
        </w:tc>
        <w:tc>
          <w:tcPr>
            <w:tcW w:type="dxa" w:w="4535"/>
            <w:vAlign w:val="top"/>
          </w:tcPr>
          <w:p>
            <w:r/>
            <w:r>
              <w:rPr>
                <w:rFonts w:ascii="Times New Roman" w:hAnsi="Times New Roman"/>
                <w:sz w:val="14"/>
              </w:rPr>
              <w:t>Referensi operasional penilaian kelembagaan investasi publik.</w:t>
            </w:r>
          </w:p>
        </w:tc>
        <w:tc>
          <w:tcPr>
            <w:tcW w:type="dxa" w:w="5102"/>
            <w:vAlign w:val="top"/>
          </w:tcPr>
          <w:p>
            <w:r/>
            <w:hyperlink r:id="rId42">
              <w:r>
                <w:rPr>
                  <w:color w:val="0563C1"/>
                  <w:u w:val="single"/>
                </w:rPr>
                <w:t>https://infrastructuregovern.imf.org/content/PIMA/Home/PimaTool/What-is-PIMA.html</w:t>
              </w:r>
            </w:hyperlink>
          </w:p>
        </w:tc>
      </w:tr>
      <w:tr>
        <w:trPr>
          <w:cantSplit/>
        </w:trPr>
        <w:tc>
          <w:tcPr>
            <w:tcW w:type="dxa" w:w="964"/>
            <w:vAlign w:val="top"/>
          </w:tcPr>
          <w:p>
            <w:r/>
            <w:r>
              <w:rPr>
                <w:rFonts w:ascii="Times New Roman" w:hAnsi="Times New Roman"/>
                <w:sz w:val="14"/>
              </w:rPr>
              <w:t>VI-04</w:t>
            </w:r>
          </w:p>
        </w:tc>
        <w:tc>
          <w:tcPr>
            <w:tcW w:type="dxa" w:w="1134"/>
            <w:vAlign w:val="top"/>
          </w:tcPr>
          <w:p>
            <w:r/>
            <w:r>
              <w:rPr>
                <w:rFonts w:ascii="Times New Roman" w:hAnsi="Times New Roman"/>
                <w:sz w:val="14"/>
              </w:rPr>
              <w:t>Bab VI</w:t>
            </w:r>
          </w:p>
        </w:tc>
        <w:tc>
          <w:tcPr>
            <w:tcW w:type="dxa" w:w="5102"/>
            <w:vAlign w:val="top"/>
          </w:tcPr>
          <w:p>
            <w:r/>
            <w:r>
              <w:rPr>
                <w:rFonts w:ascii="Times New Roman" w:hAnsi="Times New Roman"/>
                <w:sz w:val="14"/>
              </w:rPr>
              <w:t>Kerangka penulis</w:t>
            </w:r>
          </w:p>
        </w:tc>
        <w:tc>
          <w:tcPr>
            <w:tcW w:type="dxa" w:w="1984"/>
            <w:vAlign w:val="top"/>
          </w:tcPr>
          <w:p>
            <w:r/>
            <w:r>
              <w:rPr>
                <w:rFonts w:ascii="Times New Roman" w:hAnsi="Times New Roman"/>
                <w:sz w:val="14"/>
              </w:rPr>
              <w:t>KERANGKA PENULIS</w:t>
            </w:r>
          </w:p>
        </w:tc>
        <w:tc>
          <w:tcPr>
            <w:tcW w:type="dxa" w:w="1417"/>
            <w:vAlign w:val="top"/>
          </w:tcPr>
          <w:p>
            <w:r/>
            <w:r>
              <w:rPr>
                <w:rFonts w:ascii="Times New Roman" w:hAnsi="Times New Roman"/>
                <w:sz w:val="14"/>
              </w:rPr>
              <w:t>2026</w:t>
            </w:r>
          </w:p>
        </w:tc>
        <w:tc>
          <w:tcPr>
            <w:tcW w:type="dxa" w:w="4535"/>
            <w:vAlign w:val="top"/>
          </w:tcPr>
          <w:p>
            <w:r/>
            <w:r>
              <w:rPr>
                <w:rFonts w:ascii="Times New Roman" w:hAnsi="Times New Roman"/>
                <w:sz w:val="14"/>
              </w:rPr>
              <w:t>Alat analitis buku; bukan formula regulasi/akuntansi.</w:t>
            </w:r>
          </w:p>
        </w:tc>
        <w:tc>
          <w:tcPr>
            <w:tcW w:type="dxa" w:w="5102"/>
            <w:vAlign w:val="top"/>
          </w:tcPr>
          <w:p>
            <w:r/>
            <w:r>
              <w:rPr>
                <w:rFonts w:ascii="Times New Roman" w:hAnsi="Times New Roman"/>
                <w:sz w:val="14"/>
              </w:rPr>
              <w:t>—</w:t>
            </w:r>
          </w:p>
        </w:tc>
      </w:tr>
      <w:tr>
        <w:trPr>
          <w:cantSplit/>
        </w:trPr>
        <w:tc>
          <w:tcPr>
            <w:tcW w:type="dxa" w:w="964"/>
            <w:vAlign w:val="top"/>
          </w:tcPr>
          <w:p>
            <w:r/>
            <w:r>
              <w:rPr>
                <w:rFonts w:ascii="Times New Roman" w:hAnsi="Times New Roman"/>
                <w:sz w:val="14"/>
              </w:rPr>
              <w:t>VII-01</w:t>
            </w:r>
          </w:p>
        </w:tc>
        <w:tc>
          <w:tcPr>
            <w:tcW w:type="dxa" w:w="1134"/>
            <w:vAlign w:val="top"/>
          </w:tcPr>
          <w:p>
            <w:r/>
            <w:r>
              <w:rPr>
                <w:rFonts w:ascii="Times New Roman" w:hAnsi="Times New Roman"/>
                <w:sz w:val="14"/>
              </w:rPr>
              <w:t>Bab VII</w:t>
            </w:r>
          </w:p>
        </w:tc>
        <w:tc>
          <w:tcPr>
            <w:tcW w:type="dxa" w:w="5102"/>
            <w:vAlign w:val="top"/>
          </w:tcPr>
          <w:p>
            <w:r>
              <w:rPr>
                <w:rFonts w:ascii="Times New Roman" w:hAnsi="Times New Roman"/>
                <w:sz w:val="15"/>
              </w:rPr>
              <w:t>PP Nomor 44 Tahun 2005 tentang Tata Cara Penyertaan dan Penatausahaan Modal Negara pada BUMN dan Perseroan Terbatas sebagaimana diubah dengan PP Nomor 72 Tahun 2016</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2005</w:t>
            </w:r>
          </w:p>
        </w:tc>
        <w:tc>
          <w:tcPr>
            <w:tcW w:type="dxa" w:w="4535"/>
            <w:vAlign w:val="top"/>
          </w:tcPr>
          <w:p>
            <w:r/>
            <w:r>
              <w:rPr>
                <w:rFonts w:ascii="Times New Roman" w:hAnsi="Times New Roman"/>
                <w:sz w:val="14"/>
              </w:rPr>
              <w:t>Basis definisi PMN sebagai pemisahan kekayaan negara dan dikelola secara korporasi.</w:t>
            </w:r>
          </w:p>
        </w:tc>
        <w:tc>
          <w:tcPr>
            <w:tcW w:type="dxa" w:w="5102"/>
            <w:vAlign w:val="top"/>
          </w:tcPr>
          <w:p>
            <w:r>
              <w:rPr>
                <w:rFonts w:ascii="Times New Roman" w:hAnsi="Times New Roman"/>
                <w:sz w:val="15"/>
              </w:rPr>
              <w:t>https://peraturan.bpk.go.id/Details/49641/pp-no-44-tahun-2005</w:t>
            </w:r>
          </w:p>
        </w:tc>
      </w:tr>
      <w:tr>
        <w:trPr>
          <w:cantSplit/>
        </w:trPr>
        <w:tc>
          <w:tcPr>
            <w:tcW w:type="dxa" w:w="964"/>
            <w:vAlign w:val="top"/>
          </w:tcPr>
          <w:p>
            <w:r/>
            <w:r>
              <w:rPr>
                <w:rFonts w:ascii="Times New Roman" w:hAnsi="Times New Roman"/>
                <w:sz w:val="14"/>
              </w:rPr>
              <w:t>VII-02</w:t>
            </w:r>
          </w:p>
        </w:tc>
        <w:tc>
          <w:tcPr>
            <w:tcW w:type="dxa" w:w="1134"/>
            <w:vAlign w:val="top"/>
          </w:tcPr>
          <w:p>
            <w:r/>
            <w:r>
              <w:rPr>
                <w:rFonts w:ascii="Times New Roman" w:hAnsi="Times New Roman"/>
                <w:sz w:val="14"/>
              </w:rPr>
              <w:t>Bab VII</w:t>
            </w:r>
          </w:p>
        </w:tc>
        <w:tc>
          <w:tcPr>
            <w:tcW w:type="dxa" w:w="5102"/>
            <w:vAlign w:val="top"/>
          </w:tcPr>
          <w:p>
            <w:r/>
            <w:r>
              <w:rPr>
                <w:rFonts w:ascii="Times New Roman" w:hAnsi="Times New Roman"/>
                <w:sz w:val="14"/>
              </w:rPr>
              <w:t>PP Nomor 54 Tahun 2017 tentang BUMD</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2017</w:t>
            </w:r>
          </w:p>
        </w:tc>
        <w:tc>
          <w:tcPr>
            <w:tcW w:type="dxa" w:w="4535"/>
            <w:vAlign w:val="top"/>
          </w:tcPr>
          <w:p>
            <w:r/>
            <w:r>
              <w:rPr>
                <w:rFonts w:ascii="Times New Roman" w:hAnsi="Times New Roman"/>
                <w:sz w:val="14"/>
              </w:rPr>
              <w:t>Basis penambahan modal BUMD, pengembangan usaha, penguatan struktur permodalan/penugasan dan kebutuhan kajian.</w:t>
            </w:r>
          </w:p>
        </w:tc>
        <w:tc>
          <w:tcPr>
            <w:tcW w:type="dxa" w:w="5102"/>
            <w:vAlign w:val="top"/>
          </w:tcPr>
          <w:p>
            <w:r/>
            <w:hyperlink r:id="rId44">
              <w:r>
                <w:rPr>
                  <w:color w:val="0563C1"/>
                  <w:u w:val="single"/>
                </w:rPr>
                <w:t>https://peraturan.bpk.go.id/Details/64765/pp-no-54-tahun-2017</w:t>
              </w:r>
            </w:hyperlink>
          </w:p>
        </w:tc>
      </w:tr>
      <w:tr>
        <w:trPr>
          <w:cantSplit/>
        </w:trPr>
        <w:tc>
          <w:tcPr>
            <w:tcW w:type="dxa" w:w="964"/>
            <w:vAlign w:val="top"/>
          </w:tcPr>
          <w:p>
            <w:r/>
            <w:r>
              <w:rPr>
                <w:rFonts w:ascii="Times New Roman" w:hAnsi="Times New Roman"/>
                <w:sz w:val="14"/>
              </w:rPr>
              <w:t>VII-03</w:t>
            </w:r>
          </w:p>
        </w:tc>
        <w:tc>
          <w:tcPr>
            <w:tcW w:type="dxa" w:w="1134"/>
            <w:vAlign w:val="top"/>
          </w:tcPr>
          <w:p>
            <w:r/>
            <w:r>
              <w:rPr>
                <w:rFonts w:ascii="Times New Roman" w:hAnsi="Times New Roman"/>
                <w:sz w:val="14"/>
              </w:rPr>
              <w:t>Bab VII</w:t>
            </w:r>
          </w:p>
        </w:tc>
        <w:tc>
          <w:tcPr>
            <w:tcW w:type="dxa" w:w="5102"/>
            <w:vAlign w:val="top"/>
          </w:tcPr>
          <w:p>
            <w:r/>
            <w:r>
              <w:rPr>
                <w:rFonts w:ascii="Times New Roman" w:hAnsi="Times New Roman"/>
                <w:sz w:val="14"/>
              </w:rPr>
              <w:t>Data ilustratif versi buku final</w:t>
            </w:r>
          </w:p>
        </w:tc>
        <w:tc>
          <w:tcPr>
            <w:tcW w:type="dxa" w:w="1984"/>
            <w:vAlign w:val="top"/>
          </w:tcPr>
          <w:p>
            <w:r/>
            <w:r>
              <w:rPr>
                <w:rFonts w:ascii="Times New Roman" w:hAnsi="Times New Roman"/>
                <w:sz w:val="14"/>
              </w:rPr>
              <w:t>ILUSTRATIF</w:t>
            </w:r>
          </w:p>
        </w:tc>
        <w:tc>
          <w:tcPr>
            <w:tcW w:type="dxa" w:w="1417"/>
            <w:vAlign w:val="top"/>
          </w:tcPr>
          <w:p>
            <w:r/>
            <w:r>
              <w:rPr>
                <w:rFonts w:ascii="Times New Roman" w:hAnsi="Times New Roman"/>
                <w:sz w:val="14"/>
              </w:rPr>
              <w:t>2026</w:t>
            </w:r>
          </w:p>
        </w:tc>
        <w:tc>
          <w:tcPr>
            <w:tcW w:type="dxa" w:w="4535"/>
            <w:vAlign w:val="top"/>
          </w:tcPr>
          <w:p>
            <w:r/>
            <w:r>
              <w:rPr>
                <w:rFonts w:ascii="Times New Roman" w:hAnsi="Times New Roman"/>
                <w:sz w:val="14"/>
              </w:rPr>
              <w:t>Identitas dan angka dimodifikasi; tidak ada sumber institusional asli di portal.</w:t>
            </w:r>
          </w:p>
        </w:tc>
        <w:tc>
          <w:tcPr>
            <w:tcW w:type="dxa" w:w="5102"/>
            <w:vAlign w:val="top"/>
          </w:tcPr>
          <w:p>
            <w:r/>
            <w:r>
              <w:rPr>
                <w:rFonts w:ascii="Times New Roman" w:hAnsi="Times New Roman"/>
                <w:sz w:val="14"/>
              </w:rPr>
              <w:t>—</w:t>
            </w:r>
          </w:p>
        </w:tc>
      </w:tr>
      <w:tr>
        <w:trPr>
          <w:cantSplit/>
        </w:trPr>
        <w:tc>
          <w:tcPr>
            <w:tcW w:type="dxa" w:w="964"/>
            <w:vAlign w:val="top"/>
          </w:tcPr>
          <w:p>
            <w:r/>
            <w:r>
              <w:rPr>
                <w:rFonts w:ascii="Times New Roman" w:hAnsi="Times New Roman"/>
                <w:sz w:val="14"/>
              </w:rPr>
              <w:t>VII-04</w:t>
            </w:r>
          </w:p>
        </w:tc>
        <w:tc>
          <w:tcPr>
            <w:tcW w:type="dxa" w:w="1134"/>
            <w:vAlign w:val="top"/>
          </w:tcPr>
          <w:p>
            <w:r/>
            <w:r>
              <w:rPr>
                <w:rFonts w:ascii="Times New Roman" w:hAnsi="Times New Roman"/>
                <w:sz w:val="14"/>
              </w:rPr>
              <w:t>Bab VII</w:t>
            </w:r>
          </w:p>
        </w:tc>
        <w:tc>
          <w:tcPr>
            <w:tcW w:type="dxa" w:w="5102"/>
            <w:vAlign w:val="top"/>
          </w:tcPr>
          <w:p>
            <w:r/>
            <w:r>
              <w:rPr>
                <w:rFonts w:ascii="Times New Roman" w:hAnsi="Times New Roman"/>
                <w:sz w:val="14"/>
              </w:rPr>
              <w:t>Kerangka penulis</w:t>
            </w:r>
          </w:p>
        </w:tc>
        <w:tc>
          <w:tcPr>
            <w:tcW w:type="dxa" w:w="1984"/>
            <w:vAlign w:val="top"/>
          </w:tcPr>
          <w:p>
            <w:r/>
            <w:r>
              <w:rPr>
                <w:rFonts w:ascii="Times New Roman" w:hAnsi="Times New Roman"/>
                <w:sz w:val="14"/>
              </w:rPr>
              <w:t>KERANGKA PENULIS</w:t>
            </w:r>
          </w:p>
        </w:tc>
        <w:tc>
          <w:tcPr>
            <w:tcW w:type="dxa" w:w="1417"/>
            <w:vAlign w:val="top"/>
          </w:tcPr>
          <w:p>
            <w:r/>
            <w:r>
              <w:rPr>
                <w:rFonts w:ascii="Times New Roman" w:hAnsi="Times New Roman"/>
                <w:sz w:val="14"/>
              </w:rPr>
              <w:t>2026</w:t>
            </w:r>
          </w:p>
        </w:tc>
        <w:tc>
          <w:tcPr>
            <w:tcW w:type="dxa" w:w="4535"/>
            <w:vAlign w:val="top"/>
          </w:tcPr>
          <w:p>
            <w:r/>
            <w:r>
              <w:rPr>
                <w:rFonts w:ascii="Times New Roman" w:hAnsi="Times New Roman"/>
                <w:sz w:val="14"/>
              </w:rPr>
              <w:t>Framework evaluasi public capital setelah penempatan.</w:t>
            </w:r>
          </w:p>
        </w:tc>
        <w:tc>
          <w:tcPr>
            <w:tcW w:type="dxa" w:w="5102"/>
            <w:vAlign w:val="top"/>
          </w:tcPr>
          <w:p>
            <w:r/>
            <w:r>
              <w:rPr>
                <w:rFonts w:ascii="Times New Roman" w:hAnsi="Times New Roman"/>
                <w:sz w:val="14"/>
              </w:rPr>
              <w:t>—</w:t>
            </w:r>
          </w:p>
        </w:tc>
      </w:tr>
      <w:tr>
        <w:trPr>
          <w:cantSplit/>
        </w:trPr>
        <w:tc>
          <w:tcPr>
            <w:tcW w:type="dxa" w:w="964"/>
            <w:vAlign w:val="top"/>
          </w:tcPr>
          <w:p>
            <w:r/>
            <w:r>
              <w:rPr>
                <w:rFonts w:ascii="Times New Roman" w:hAnsi="Times New Roman"/>
                <w:sz w:val="14"/>
              </w:rPr>
              <w:t>VIII-01</w:t>
            </w:r>
          </w:p>
        </w:tc>
        <w:tc>
          <w:tcPr>
            <w:tcW w:type="dxa" w:w="1134"/>
            <w:vAlign w:val="top"/>
          </w:tcPr>
          <w:p>
            <w:r/>
            <w:r>
              <w:rPr>
                <w:rFonts w:ascii="Times New Roman" w:hAnsi="Times New Roman"/>
                <w:sz w:val="14"/>
              </w:rPr>
              <w:t>Bab VIII</w:t>
            </w:r>
          </w:p>
        </w:tc>
        <w:tc>
          <w:tcPr>
            <w:tcW w:type="dxa" w:w="5102"/>
            <w:vAlign w:val="top"/>
          </w:tcPr>
          <w:p>
            <w:r/>
            <w:r>
              <w:rPr>
                <w:rFonts w:ascii="Times New Roman" w:hAnsi="Times New Roman"/>
                <w:sz w:val="14"/>
              </w:rPr>
              <w:t>Kemenko Perekonomian - Konsolidasi Kredit Program Pemerintah 2026 / publikasi KUR 2026</w:t>
            </w:r>
          </w:p>
        </w:tc>
        <w:tc>
          <w:tcPr>
            <w:tcW w:type="dxa" w:w="1984"/>
            <w:vAlign w:val="top"/>
          </w:tcPr>
          <w:p>
            <w:r/>
            <w:r>
              <w:rPr>
                <w:rFonts w:ascii="Times New Roman" w:hAnsi="Times New Roman"/>
                <w:sz w:val="14"/>
              </w:rPr>
              <w:t>DATA PUBLIK RESMI</w:t>
            </w:r>
          </w:p>
        </w:tc>
        <w:tc>
          <w:tcPr>
            <w:tcW w:type="dxa" w:w="1417"/>
            <w:vAlign w:val="top"/>
          </w:tcPr>
          <w:p>
            <w:r/>
            <w:r>
              <w:rPr>
                <w:rFonts w:ascii="Times New Roman" w:hAnsi="Times New Roman"/>
                <w:sz w:val="14"/>
              </w:rPr>
              <w:t>2026</w:t>
            </w:r>
          </w:p>
        </w:tc>
        <w:tc>
          <w:tcPr>
            <w:tcW w:type="dxa" w:w="4535"/>
            <w:vAlign w:val="top"/>
          </w:tcPr>
          <w:p>
            <w:r/>
            <w:r>
              <w:rPr>
                <w:rFonts w:ascii="Times New Roman" w:hAnsi="Times New Roman"/>
                <w:sz w:val="14"/>
              </w:rPr>
              <w:t>Referensi publik untuk pentingnya debitur baru, graduasi/naik kelas dan kualitas penyaluran.</w:t>
            </w:r>
          </w:p>
        </w:tc>
        <w:tc>
          <w:tcPr>
            <w:tcW w:type="dxa" w:w="5102"/>
            <w:vAlign w:val="top"/>
          </w:tcPr>
          <w:p>
            <w:r/>
            <w:hyperlink r:id="rId45">
              <w:r>
                <w:rPr>
                  <w:color w:val="0563C1"/>
                  <w:u w:val="single"/>
                </w:rPr>
                <w:t>https://www.ekon.go.id/publikasi/detail/6784/konsolidasi-kredit-program-pemerintah-2026-perkuat-pedoman-pelaksanaan-kredit-program-optimalkan-penyaluran-dan-wujudkan-pertumbuhan-ekonomi-inklusif-berbasis-usaha-mikro-dan-kecil</w:t>
              </w:r>
            </w:hyperlink>
          </w:p>
        </w:tc>
      </w:tr>
      <w:tr>
        <w:trPr>
          <w:cantSplit/>
        </w:trPr>
        <w:tc>
          <w:tcPr>
            <w:tcW w:type="dxa" w:w="964"/>
            <w:vAlign w:val="top"/>
          </w:tcPr>
          <w:p>
            <w:r/>
            <w:r>
              <w:rPr>
                <w:rFonts w:ascii="Times New Roman" w:hAnsi="Times New Roman"/>
                <w:sz w:val="14"/>
              </w:rPr>
              <w:t>VIII-02</w:t>
            </w:r>
          </w:p>
        </w:tc>
        <w:tc>
          <w:tcPr>
            <w:tcW w:type="dxa" w:w="1134"/>
            <w:vAlign w:val="top"/>
          </w:tcPr>
          <w:p>
            <w:r/>
            <w:r>
              <w:rPr>
                <w:rFonts w:ascii="Times New Roman" w:hAnsi="Times New Roman"/>
                <w:sz w:val="14"/>
              </w:rPr>
              <w:t>Bab VIII</w:t>
            </w:r>
          </w:p>
        </w:tc>
        <w:tc>
          <w:tcPr>
            <w:tcW w:type="dxa" w:w="5102"/>
            <w:vAlign w:val="top"/>
          </w:tcPr>
          <w:p>
            <w:r/>
            <w:r>
              <w:rPr>
                <w:rFonts w:ascii="Times New Roman" w:hAnsi="Times New Roman"/>
                <w:sz w:val="14"/>
              </w:rPr>
              <w:t>Data ilustratif versi buku final: Lancar 424,95; KL 27,12; Diragukan 3,07; Macet 666,25; total 1.121,39; tidak lancar 62,10%</w:t>
            </w:r>
          </w:p>
        </w:tc>
        <w:tc>
          <w:tcPr>
            <w:tcW w:type="dxa" w:w="1984"/>
            <w:vAlign w:val="top"/>
          </w:tcPr>
          <w:p>
            <w:r/>
            <w:r>
              <w:rPr>
                <w:rFonts w:ascii="Times New Roman" w:hAnsi="Times New Roman"/>
                <w:sz w:val="14"/>
              </w:rPr>
              <w:t>ILUSTRATIF</w:t>
            </w:r>
          </w:p>
        </w:tc>
        <w:tc>
          <w:tcPr>
            <w:tcW w:type="dxa" w:w="1417"/>
            <w:vAlign w:val="top"/>
          </w:tcPr>
          <w:p>
            <w:r/>
            <w:r>
              <w:rPr>
                <w:rFonts w:ascii="Times New Roman" w:hAnsi="Times New Roman"/>
                <w:sz w:val="14"/>
              </w:rPr>
              <w:t>2026</w:t>
            </w:r>
          </w:p>
        </w:tc>
        <w:tc>
          <w:tcPr>
            <w:tcW w:type="dxa" w:w="4535"/>
            <w:vAlign w:val="top"/>
          </w:tcPr>
          <w:p>
            <w:r/>
            <w:r>
              <w:rPr>
                <w:rFonts w:ascii="Times New Roman" w:hAnsi="Times New Roman"/>
                <w:sz w:val="14"/>
              </w:rPr>
              <w:t>Hanya angka ilustratif final; sumber/identitas asli tidak disimpan dan tidak dipulihkan di Digital Companion.</w:t>
            </w:r>
          </w:p>
        </w:tc>
        <w:tc>
          <w:tcPr>
            <w:tcW w:type="dxa" w:w="5102"/>
            <w:vAlign w:val="top"/>
          </w:tcPr>
          <w:p>
            <w:r/>
            <w:r>
              <w:rPr>
                <w:rFonts w:ascii="Times New Roman" w:hAnsi="Times New Roman"/>
                <w:sz w:val="14"/>
              </w:rPr>
              <w:t>—</w:t>
            </w:r>
          </w:p>
        </w:tc>
      </w:tr>
      <w:tr>
        <w:trPr>
          <w:cantSplit/>
        </w:trPr>
        <w:tc>
          <w:tcPr>
            <w:tcW w:type="dxa" w:w="964"/>
            <w:vAlign w:val="top"/>
          </w:tcPr>
          <w:p>
            <w:r/>
            <w:r>
              <w:rPr>
                <w:rFonts w:ascii="Times New Roman" w:hAnsi="Times New Roman"/>
                <w:sz w:val="14"/>
              </w:rPr>
              <w:t>VIII-03</w:t>
            </w:r>
          </w:p>
        </w:tc>
        <w:tc>
          <w:tcPr>
            <w:tcW w:type="dxa" w:w="1134"/>
            <w:vAlign w:val="top"/>
          </w:tcPr>
          <w:p>
            <w:r/>
            <w:r>
              <w:rPr>
                <w:rFonts w:ascii="Times New Roman" w:hAnsi="Times New Roman"/>
                <w:sz w:val="14"/>
              </w:rPr>
              <w:t>Bab VIII</w:t>
            </w:r>
          </w:p>
        </w:tc>
        <w:tc>
          <w:tcPr>
            <w:tcW w:type="dxa" w:w="5102"/>
            <w:vAlign w:val="top"/>
          </w:tcPr>
          <w:p>
            <w:r/>
            <w:r>
              <w:rPr>
                <w:rFonts w:ascii="Times New Roman" w:hAnsi="Times New Roman"/>
                <w:sz w:val="14"/>
              </w:rPr>
              <w:t>Data ilustratif versi buku final: recovery 4,23T; NPF net 4,07%→2,17%; NPF gross 26,16%→27,82%</w:t>
            </w:r>
          </w:p>
        </w:tc>
        <w:tc>
          <w:tcPr>
            <w:tcW w:type="dxa" w:w="1984"/>
            <w:vAlign w:val="top"/>
          </w:tcPr>
          <w:p>
            <w:r/>
            <w:r>
              <w:rPr>
                <w:rFonts w:ascii="Times New Roman" w:hAnsi="Times New Roman"/>
                <w:sz w:val="14"/>
              </w:rPr>
              <w:t>ILUSTRATIF</w:t>
            </w:r>
          </w:p>
        </w:tc>
        <w:tc>
          <w:tcPr>
            <w:tcW w:type="dxa" w:w="1417"/>
            <w:vAlign w:val="top"/>
          </w:tcPr>
          <w:p>
            <w:r/>
            <w:r>
              <w:rPr>
                <w:rFonts w:ascii="Times New Roman" w:hAnsi="Times New Roman"/>
                <w:sz w:val="14"/>
              </w:rPr>
              <w:t>2026</w:t>
            </w:r>
          </w:p>
        </w:tc>
        <w:tc>
          <w:tcPr>
            <w:tcW w:type="dxa" w:w="4535"/>
            <w:vAlign w:val="top"/>
          </w:tcPr>
          <w:p>
            <w:r/>
            <w:r>
              <w:rPr>
                <w:rFonts w:ascii="Times New Roman" w:hAnsi="Times New Roman"/>
                <w:sz w:val="14"/>
              </w:rPr>
              <w:t>Arah tren dipertahankan; identitas dan angka asal tidak tersedia di portal.</w:t>
            </w:r>
          </w:p>
        </w:tc>
        <w:tc>
          <w:tcPr>
            <w:tcW w:type="dxa" w:w="5102"/>
            <w:vAlign w:val="top"/>
          </w:tcPr>
          <w:p>
            <w:r/>
            <w:r>
              <w:rPr>
                <w:rFonts w:ascii="Times New Roman" w:hAnsi="Times New Roman"/>
                <w:sz w:val="14"/>
              </w:rPr>
              <w:t>—</w:t>
            </w:r>
          </w:p>
        </w:tc>
      </w:tr>
      <w:tr>
        <w:trPr>
          <w:cantSplit/>
        </w:trPr>
        <w:tc>
          <w:tcPr>
            <w:tcW w:type="dxa" w:w="964"/>
            <w:vAlign w:val="top"/>
          </w:tcPr>
          <w:p>
            <w:r/>
            <w:r>
              <w:rPr>
                <w:rFonts w:ascii="Times New Roman" w:hAnsi="Times New Roman"/>
                <w:sz w:val="14"/>
              </w:rPr>
              <w:t>VIII-04</w:t>
            </w:r>
          </w:p>
        </w:tc>
        <w:tc>
          <w:tcPr>
            <w:tcW w:type="dxa" w:w="1134"/>
            <w:vAlign w:val="top"/>
          </w:tcPr>
          <w:p>
            <w:r/>
            <w:r>
              <w:rPr>
                <w:rFonts w:ascii="Times New Roman" w:hAnsi="Times New Roman"/>
                <w:sz w:val="14"/>
              </w:rPr>
              <w:t>Bab VIII</w:t>
            </w:r>
          </w:p>
        </w:tc>
        <w:tc>
          <w:tcPr>
            <w:tcW w:type="dxa" w:w="5102"/>
            <w:vAlign w:val="top"/>
          </w:tcPr>
          <w:p>
            <w:r/>
            <w:r>
              <w:rPr>
                <w:rFonts w:ascii="Times New Roman" w:hAnsi="Times New Roman"/>
                <w:sz w:val="14"/>
              </w:rPr>
              <w:t>Kerangka penulis</w:t>
            </w:r>
          </w:p>
        </w:tc>
        <w:tc>
          <w:tcPr>
            <w:tcW w:type="dxa" w:w="1984"/>
            <w:vAlign w:val="top"/>
          </w:tcPr>
          <w:p>
            <w:r/>
            <w:r>
              <w:rPr>
                <w:rFonts w:ascii="Times New Roman" w:hAnsi="Times New Roman"/>
                <w:sz w:val="14"/>
              </w:rPr>
              <w:t>KERANGKA PENULIS</w:t>
            </w:r>
          </w:p>
        </w:tc>
        <w:tc>
          <w:tcPr>
            <w:tcW w:type="dxa" w:w="1417"/>
            <w:vAlign w:val="top"/>
          </w:tcPr>
          <w:p>
            <w:r/>
            <w:r>
              <w:rPr>
                <w:rFonts w:ascii="Times New Roman" w:hAnsi="Times New Roman"/>
                <w:sz w:val="14"/>
              </w:rPr>
              <w:t>2026</w:t>
            </w:r>
          </w:p>
        </w:tc>
        <w:tc>
          <w:tcPr>
            <w:tcW w:type="dxa" w:w="4535"/>
            <w:vAlign w:val="top"/>
          </w:tcPr>
          <w:p>
            <w:r/>
            <w:r>
              <w:rPr>
                <w:rFonts w:ascii="Times New Roman" w:hAnsi="Times New Roman"/>
                <w:sz w:val="14"/>
              </w:rPr>
              <w:t>Alat diagnosis transaksi → conversion → realization → value.</w:t>
            </w:r>
          </w:p>
        </w:tc>
        <w:tc>
          <w:tcPr>
            <w:tcW w:type="dxa" w:w="5102"/>
            <w:vAlign w:val="top"/>
          </w:tcPr>
          <w:p>
            <w:r/>
            <w:r>
              <w:rPr>
                <w:rFonts w:ascii="Times New Roman" w:hAnsi="Times New Roman"/>
                <w:sz w:val="14"/>
              </w:rPr>
              <w:t>—</w:t>
            </w:r>
          </w:p>
        </w:tc>
      </w:tr>
      <w:tr>
        <w:trPr>
          <w:cantSplit/>
        </w:trPr>
        <w:tc>
          <w:tcPr>
            <w:tcW w:type="dxa" w:w="964"/>
            <w:vAlign w:val="top"/>
          </w:tcPr>
          <w:p>
            <w:r/>
            <w:r>
              <w:rPr>
                <w:rFonts w:ascii="Times New Roman" w:hAnsi="Times New Roman"/>
                <w:sz w:val="14"/>
              </w:rPr>
              <w:t>IX-01</w:t>
            </w:r>
          </w:p>
        </w:tc>
        <w:tc>
          <w:tcPr>
            <w:tcW w:type="dxa" w:w="1134"/>
            <w:vAlign w:val="top"/>
          </w:tcPr>
          <w:p>
            <w:r/>
            <w:r>
              <w:rPr>
                <w:rFonts w:ascii="Times New Roman" w:hAnsi="Times New Roman"/>
                <w:sz w:val="14"/>
              </w:rPr>
              <w:t>Bab IX</w:t>
            </w:r>
          </w:p>
        </w:tc>
        <w:tc>
          <w:tcPr>
            <w:tcW w:type="dxa" w:w="5102"/>
            <w:vAlign w:val="top"/>
          </w:tcPr>
          <w:p>
            <w:r/>
            <w:r>
              <w:rPr>
                <w:rFonts w:ascii="Times New Roman" w:hAnsi="Times New Roman"/>
                <w:sz w:val="14"/>
              </w:rPr>
              <w:t>Perpres Nomor 46 Tahun 2025 jo. Perpres 16/2018</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2025</w:t>
            </w:r>
          </w:p>
        </w:tc>
        <w:tc>
          <w:tcPr>
            <w:tcW w:type="dxa" w:w="4535"/>
            <w:vAlign w:val="top"/>
          </w:tcPr>
          <w:p>
            <w:r/>
            <w:r>
              <w:rPr>
                <w:rFonts w:ascii="Times New Roman" w:hAnsi="Times New Roman"/>
                <w:sz w:val="14"/>
              </w:rPr>
              <w:t>Kerangka PBJ; proses sejak identifikasi kebutuhan sampai serah terima.</w:t>
            </w:r>
          </w:p>
        </w:tc>
        <w:tc>
          <w:tcPr>
            <w:tcW w:type="dxa" w:w="5102"/>
            <w:vAlign w:val="top"/>
          </w:tcPr>
          <w:p>
            <w:r/>
            <w:hyperlink r:id="rId46">
              <w:r>
                <w:rPr>
                  <w:color w:val="0563C1"/>
                  <w:u w:val="single"/>
                </w:rPr>
                <w:t>https://jdih.lkpp.go.id/regulation/peraturan-presiden/peraturan-presiden-nomor-46-tahun-2025</w:t>
              </w:r>
            </w:hyperlink>
          </w:p>
        </w:tc>
      </w:tr>
      <w:tr>
        <w:trPr>
          <w:cantSplit/>
        </w:trPr>
        <w:tc>
          <w:tcPr>
            <w:tcW w:type="dxa" w:w="964"/>
            <w:vAlign w:val="top"/>
          </w:tcPr>
          <w:p>
            <w:r/>
            <w:r>
              <w:rPr>
                <w:rFonts w:ascii="Times New Roman" w:hAnsi="Times New Roman"/>
                <w:sz w:val="14"/>
              </w:rPr>
              <w:t>IX-02</w:t>
            </w:r>
          </w:p>
        </w:tc>
        <w:tc>
          <w:tcPr>
            <w:tcW w:type="dxa" w:w="1134"/>
            <w:vAlign w:val="top"/>
          </w:tcPr>
          <w:p>
            <w:r/>
            <w:r>
              <w:rPr>
                <w:rFonts w:ascii="Times New Roman" w:hAnsi="Times New Roman"/>
                <w:sz w:val="14"/>
              </w:rPr>
              <w:t>Bab IX</w:t>
            </w:r>
          </w:p>
        </w:tc>
        <w:tc>
          <w:tcPr>
            <w:tcW w:type="dxa" w:w="5102"/>
            <w:vAlign w:val="top"/>
          </w:tcPr>
          <w:p>
            <w:r/>
            <w:r>
              <w:rPr>
                <w:rFonts w:ascii="Times New Roman" w:hAnsi="Times New Roman"/>
                <w:sz w:val="14"/>
              </w:rPr>
              <w:t>Peraturan LKPP Nomor 2 Tahun 2026</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2026</w:t>
            </w:r>
          </w:p>
        </w:tc>
        <w:tc>
          <w:tcPr>
            <w:tcW w:type="dxa" w:w="4535"/>
            <w:vAlign w:val="top"/>
          </w:tcPr>
          <w:p>
            <w:r/>
            <w:r>
              <w:rPr>
                <w:rFonts w:ascii="Times New Roman" w:hAnsi="Times New Roman"/>
                <w:sz w:val="14"/>
              </w:rPr>
              <w:t>Katalog Elektronik/e-purchasing; mencabut Peraturan LKPP 9/2021.</w:t>
            </w:r>
          </w:p>
        </w:tc>
        <w:tc>
          <w:tcPr>
            <w:tcW w:type="dxa" w:w="5102"/>
            <w:vAlign w:val="top"/>
          </w:tcPr>
          <w:p>
            <w:r/>
            <w:hyperlink r:id="rId47">
              <w:r>
                <w:rPr>
                  <w:color w:val="0563C1"/>
                  <w:u w:val="single"/>
                </w:rPr>
                <w:t>https://jdih.lkpp.go.id/regulation/peraturan-lkpp/peraturan-lkpp-nomor-2-tahun-2026</w:t>
              </w:r>
            </w:hyperlink>
          </w:p>
        </w:tc>
      </w:tr>
      <w:tr>
        <w:trPr>
          <w:cantSplit/>
        </w:trPr>
        <w:tc>
          <w:tcPr>
            <w:tcW w:type="dxa" w:w="964"/>
            <w:vAlign w:val="top"/>
          </w:tcPr>
          <w:p>
            <w:r/>
            <w:r>
              <w:rPr>
                <w:rFonts w:ascii="Times New Roman" w:hAnsi="Times New Roman"/>
                <w:sz w:val="14"/>
              </w:rPr>
              <w:t>IX-03</w:t>
            </w:r>
          </w:p>
        </w:tc>
        <w:tc>
          <w:tcPr>
            <w:tcW w:type="dxa" w:w="1134"/>
            <w:vAlign w:val="top"/>
          </w:tcPr>
          <w:p>
            <w:r/>
            <w:r>
              <w:rPr>
                <w:rFonts w:ascii="Times New Roman" w:hAnsi="Times New Roman"/>
                <w:sz w:val="14"/>
              </w:rPr>
              <w:t>Bab IX</w:t>
            </w:r>
          </w:p>
        </w:tc>
        <w:tc>
          <w:tcPr>
            <w:tcW w:type="dxa" w:w="5102"/>
            <w:vAlign w:val="top"/>
          </w:tcPr>
          <w:p>
            <w:r/>
            <w:r>
              <w:rPr>
                <w:rFonts w:ascii="Times New Roman" w:hAnsi="Times New Roman"/>
                <w:sz w:val="14"/>
              </w:rPr>
              <w:t>KPK - Laporan Kajian Tata Kelola e-Procurement Dalam Pengadaan Barang &amp; Jasa Tahun 2025</w:t>
            </w:r>
          </w:p>
        </w:tc>
        <w:tc>
          <w:tcPr>
            <w:tcW w:type="dxa" w:w="1984"/>
            <w:vAlign w:val="top"/>
          </w:tcPr>
          <w:p>
            <w:r/>
            <w:r>
              <w:rPr>
                <w:rFonts w:ascii="Times New Roman" w:hAnsi="Times New Roman"/>
                <w:sz w:val="14"/>
              </w:rPr>
              <w:t>DATA/Kajian PRIMER</w:t>
            </w:r>
          </w:p>
        </w:tc>
        <w:tc>
          <w:tcPr>
            <w:tcW w:type="dxa" w:w="1417"/>
            <w:vAlign w:val="top"/>
          </w:tcPr>
          <w:p>
            <w:r/>
            <w:r>
              <w:rPr>
                <w:rFonts w:ascii="Times New Roman" w:hAnsi="Times New Roman"/>
                <w:sz w:val="14"/>
              </w:rPr>
              <w:t>2025</w:t>
            </w:r>
          </w:p>
        </w:tc>
        <w:tc>
          <w:tcPr>
            <w:tcW w:type="dxa" w:w="4535"/>
            <w:vAlign w:val="top"/>
          </w:tcPr>
          <w:p>
            <w:r/>
            <w:r>
              <w:rPr>
                <w:rFonts w:ascii="Times New Roman" w:hAnsi="Times New Roman"/>
                <w:sz w:val="14"/>
              </w:rPr>
              <w:t>Basis pembacaan risiko governance e-procurement dan perlunya challenge/assurance.</w:t>
            </w:r>
          </w:p>
        </w:tc>
        <w:tc>
          <w:tcPr>
            <w:tcW w:type="dxa" w:w="5102"/>
            <w:vAlign w:val="top"/>
          </w:tcPr>
          <w:p>
            <w:r/>
            <w:hyperlink r:id="rId48">
              <w:r>
                <w:rPr>
                  <w:color w:val="0563C1"/>
                  <w:u w:val="single"/>
                </w:rPr>
                <w:t>https://cms.kpk.go.id/storage/9967/LAPORAN-KAJIAN-TATA-KELOLA-E-PROCUREMENT-DALAM-PENGADAAN-BARANG-DAN-JASA-TAHUN-2025.pdf</w:t>
              </w:r>
            </w:hyperlink>
          </w:p>
        </w:tc>
      </w:tr>
      <w:tr>
        <w:trPr>
          <w:cantSplit/>
        </w:trPr>
        <w:tc>
          <w:tcPr>
            <w:tcW w:type="dxa" w:w="964"/>
            <w:vAlign w:val="top"/>
          </w:tcPr>
          <w:p>
            <w:r/>
            <w:r>
              <w:rPr>
                <w:rFonts w:ascii="Times New Roman" w:hAnsi="Times New Roman"/>
                <w:sz w:val="14"/>
              </w:rPr>
              <w:t>IX-04</w:t>
            </w:r>
          </w:p>
        </w:tc>
        <w:tc>
          <w:tcPr>
            <w:tcW w:type="dxa" w:w="1134"/>
            <w:vAlign w:val="top"/>
          </w:tcPr>
          <w:p>
            <w:r/>
            <w:r>
              <w:rPr>
                <w:rFonts w:ascii="Times New Roman" w:hAnsi="Times New Roman"/>
                <w:sz w:val="14"/>
              </w:rPr>
              <w:t>Bab IX</w:t>
            </w:r>
          </w:p>
        </w:tc>
        <w:tc>
          <w:tcPr>
            <w:tcW w:type="dxa" w:w="5102"/>
            <w:vAlign w:val="top"/>
          </w:tcPr>
          <w:p>
            <w:r/>
            <w:r>
              <w:rPr>
                <w:rFonts w:ascii="Times New Roman" w:hAnsi="Times New Roman"/>
                <w:sz w:val="14"/>
              </w:rPr>
              <w:t>KPK - Laporan Tahunan 2025</w:t>
            </w:r>
          </w:p>
        </w:tc>
        <w:tc>
          <w:tcPr>
            <w:tcW w:type="dxa" w:w="1984"/>
            <w:vAlign w:val="top"/>
          </w:tcPr>
          <w:p>
            <w:r/>
            <w:r>
              <w:rPr>
                <w:rFonts w:ascii="Times New Roman" w:hAnsi="Times New Roman"/>
                <w:sz w:val="14"/>
              </w:rPr>
              <w:t>DATA PUBLIK RESMI</w:t>
            </w:r>
          </w:p>
        </w:tc>
        <w:tc>
          <w:tcPr>
            <w:tcW w:type="dxa" w:w="1417"/>
            <w:vAlign w:val="top"/>
          </w:tcPr>
          <w:p>
            <w:r/>
            <w:r>
              <w:rPr>
                <w:rFonts w:ascii="Times New Roman" w:hAnsi="Times New Roman"/>
                <w:sz w:val="14"/>
              </w:rPr>
              <w:t>2025</w:t>
            </w:r>
          </w:p>
        </w:tc>
        <w:tc>
          <w:tcPr>
            <w:tcW w:type="dxa" w:w="4535"/>
            <w:vAlign w:val="top"/>
          </w:tcPr>
          <w:p>
            <w:r/>
            <w:r>
              <w:rPr>
                <w:rFonts w:ascii="Times New Roman" w:hAnsi="Times New Roman"/>
                <w:sz w:val="14"/>
              </w:rPr>
              <w:t>Konteks risiko dan pencegahan korupsi yang dirujuk.</w:t>
            </w:r>
          </w:p>
        </w:tc>
        <w:tc>
          <w:tcPr>
            <w:tcW w:type="dxa" w:w="5102"/>
            <w:vAlign w:val="top"/>
          </w:tcPr>
          <w:p>
            <w:r/>
            <w:hyperlink r:id="rId49">
              <w:r>
                <w:rPr>
                  <w:color w:val="0563C1"/>
                  <w:u w:val="single"/>
                </w:rPr>
                <w:t>https://cms.kpk.go.id/storage/9535/Laporan-Tahunan-KPK-2025-Website.pdf</w:t>
              </w:r>
            </w:hyperlink>
          </w:p>
        </w:tc>
      </w:tr>
      <w:tr>
        <w:trPr>
          <w:cantSplit/>
        </w:trPr>
        <w:tc>
          <w:tcPr>
            <w:tcW w:type="dxa" w:w="964"/>
            <w:vAlign w:val="top"/>
          </w:tcPr>
          <w:p>
            <w:r/>
            <w:r>
              <w:rPr>
                <w:rFonts w:ascii="Times New Roman" w:hAnsi="Times New Roman"/>
                <w:sz w:val="14"/>
              </w:rPr>
              <w:t>IX-05</w:t>
            </w:r>
          </w:p>
        </w:tc>
        <w:tc>
          <w:tcPr>
            <w:tcW w:type="dxa" w:w="1134"/>
            <w:vAlign w:val="top"/>
          </w:tcPr>
          <w:p>
            <w:r/>
            <w:r>
              <w:rPr>
                <w:rFonts w:ascii="Times New Roman" w:hAnsi="Times New Roman"/>
                <w:sz w:val="14"/>
              </w:rPr>
              <w:t>Bab IX</w:t>
            </w:r>
          </w:p>
        </w:tc>
        <w:tc>
          <w:tcPr>
            <w:tcW w:type="dxa" w:w="5102"/>
            <w:vAlign w:val="top"/>
          </w:tcPr>
          <w:p>
            <w:r/>
            <w:r>
              <w:rPr>
                <w:rFonts w:ascii="Times New Roman" w:hAnsi="Times New Roman"/>
                <w:sz w:val="14"/>
              </w:rPr>
              <w:t>KPK - Panduan Asesmen Risiko Korupsi Regulasi (CRA)</w:t>
            </w:r>
          </w:p>
        </w:tc>
        <w:tc>
          <w:tcPr>
            <w:tcW w:type="dxa" w:w="1984"/>
            <w:vAlign w:val="top"/>
          </w:tcPr>
          <w:p>
            <w:r/>
            <w:r>
              <w:rPr>
                <w:rFonts w:ascii="Times New Roman" w:hAnsi="Times New Roman"/>
                <w:sz w:val="14"/>
              </w:rPr>
              <w:t>PEDOMAN PRIMER</w:t>
            </w:r>
          </w:p>
        </w:tc>
        <w:tc>
          <w:tcPr>
            <w:tcW w:type="dxa" w:w="1417"/>
            <w:vAlign w:val="top"/>
          </w:tcPr>
          <w:p>
            <w:r/>
            <w:r>
              <w:rPr>
                <w:rFonts w:ascii="Times New Roman" w:hAnsi="Times New Roman"/>
                <w:sz w:val="14"/>
              </w:rPr>
              <w:t>2025</w:t>
            </w:r>
          </w:p>
        </w:tc>
        <w:tc>
          <w:tcPr>
            <w:tcW w:type="dxa" w:w="4535"/>
            <w:vAlign w:val="top"/>
          </w:tcPr>
          <w:p>
            <w:r/>
            <w:r>
              <w:rPr>
                <w:rFonts w:ascii="Times New Roman" w:hAnsi="Times New Roman"/>
                <w:sz w:val="14"/>
              </w:rPr>
              <w:t>Pembanding risk-based prevention pada regulasi.</w:t>
            </w:r>
          </w:p>
        </w:tc>
        <w:tc>
          <w:tcPr>
            <w:tcW w:type="dxa" w:w="5102"/>
            <w:vAlign w:val="top"/>
          </w:tcPr>
          <w:p>
            <w:r/>
            <w:hyperlink r:id="rId50">
              <w:r>
                <w:rPr>
                  <w:color w:val="0563C1"/>
                  <w:u w:val="single"/>
                </w:rPr>
                <w:t>https://aclc.kpk.go.id/materi-pembelajaran/hukum/buku/panduan-asesmen</w:t>
              </w:r>
            </w:hyperlink>
          </w:p>
        </w:tc>
      </w:tr>
      <w:tr>
        <w:trPr>
          <w:cantSplit/>
        </w:trPr>
        <w:tc>
          <w:tcPr>
            <w:tcW w:type="dxa" w:w="964"/>
            <w:vAlign w:val="top"/>
          </w:tcPr>
          <w:p>
            <w:r/>
            <w:r>
              <w:rPr>
                <w:rFonts w:ascii="Times New Roman" w:hAnsi="Times New Roman"/>
                <w:sz w:val="14"/>
              </w:rPr>
              <w:t>IX-06</w:t>
            </w:r>
          </w:p>
        </w:tc>
        <w:tc>
          <w:tcPr>
            <w:tcW w:type="dxa" w:w="1134"/>
            <w:vAlign w:val="top"/>
          </w:tcPr>
          <w:p>
            <w:r/>
            <w:r>
              <w:rPr>
                <w:rFonts w:ascii="Times New Roman" w:hAnsi="Times New Roman"/>
                <w:sz w:val="14"/>
              </w:rPr>
              <w:t>Bab IX</w:t>
            </w:r>
          </w:p>
        </w:tc>
        <w:tc>
          <w:tcPr>
            <w:tcW w:type="dxa" w:w="5102"/>
            <w:vAlign w:val="top"/>
          </w:tcPr>
          <w:p>
            <w:r/>
            <w:r>
              <w:rPr>
                <w:rFonts w:ascii="Times New Roman" w:hAnsi="Times New Roman"/>
                <w:sz w:val="14"/>
              </w:rPr>
              <w:t>PP Nomor 39 Tahun 2025</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2025</w:t>
            </w:r>
          </w:p>
        </w:tc>
        <w:tc>
          <w:tcPr>
            <w:tcW w:type="dxa" w:w="4535"/>
            <w:vAlign w:val="top"/>
          </w:tcPr>
          <w:p>
            <w:r/>
            <w:r>
              <w:rPr>
                <w:rFonts w:ascii="Times New Roman" w:hAnsi="Times New Roman"/>
                <w:sz w:val="14"/>
              </w:rPr>
              <w:t>Perubahan kedua PP 96/2021 tentang pelaksanaan kegiatan usaha minerba dan mekanisme prioritas tertentu.</w:t>
            </w:r>
          </w:p>
        </w:tc>
        <w:tc>
          <w:tcPr>
            <w:tcW w:type="dxa" w:w="5102"/>
            <w:vAlign w:val="top"/>
          </w:tcPr>
          <w:p>
            <w:r/>
            <w:hyperlink r:id="rId51">
              <w:r>
                <w:rPr>
                  <w:color w:val="0563C1"/>
                  <w:u w:val="single"/>
                </w:rPr>
                <w:t>https://peraturan.bpk.go.id/Details/331105/pp-no-39-tahun-2025</w:t>
              </w:r>
            </w:hyperlink>
          </w:p>
        </w:tc>
      </w:tr>
      <w:tr>
        <w:trPr>
          <w:cantSplit/>
        </w:trPr>
        <w:tc>
          <w:tcPr>
            <w:tcW w:type="dxa" w:w="964"/>
            <w:vAlign w:val="top"/>
          </w:tcPr>
          <w:p>
            <w:r/>
            <w:r>
              <w:rPr>
                <w:rFonts w:ascii="Times New Roman" w:hAnsi="Times New Roman"/>
                <w:sz w:val="14"/>
              </w:rPr>
              <w:t>IX-07</w:t>
            </w:r>
          </w:p>
        </w:tc>
        <w:tc>
          <w:tcPr>
            <w:tcW w:type="dxa" w:w="1134"/>
            <w:vAlign w:val="top"/>
          </w:tcPr>
          <w:p>
            <w:r/>
            <w:r>
              <w:rPr>
                <w:rFonts w:ascii="Times New Roman" w:hAnsi="Times New Roman"/>
                <w:sz w:val="14"/>
              </w:rPr>
              <w:t>Bab IX</w:t>
            </w:r>
          </w:p>
        </w:tc>
        <w:tc>
          <w:tcPr>
            <w:tcW w:type="dxa" w:w="5102"/>
            <w:vAlign w:val="top"/>
          </w:tcPr>
          <w:p>
            <w:r/>
            <w:r>
              <w:rPr>
                <w:rFonts w:ascii="Times New Roman" w:hAnsi="Times New Roman"/>
                <w:sz w:val="14"/>
              </w:rPr>
              <w:t>Perpres Nomor 13 Tahun 2018</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2018</w:t>
            </w:r>
          </w:p>
        </w:tc>
        <w:tc>
          <w:tcPr>
            <w:tcW w:type="dxa" w:w="4535"/>
            <w:vAlign w:val="top"/>
          </w:tcPr>
          <w:p>
            <w:r/>
            <w:r>
              <w:rPr>
                <w:rFonts w:ascii="Times New Roman" w:hAnsi="Times New Roman"/>
                <w:sz w:val="14"/>
              </w:rPr>
              <w:t>Basis prinsip mengenali pemilik manfaat korporasi.</w:t>
            </w:r>
          </w:p>
        </w:tc>
        <w:tc>
          <w:tcPr>
            <w:tcW w:type="dxa" w:w="5102"/>
            <w:vAlign w:val="top"/>
          </w:tcPr>
          <w:p>
            <w:r/>
            <w:hyperlink r:id="rId52">
              <w:r>
                <w:rPr>
                  <w:color w:val="0563C1"/>
                  <w:u w:val="single"/>
                </w:rPr>
                <w:t>https://peraturan.bpk.go.id/Details/73583/perpres-no-13-tahun-2018</w:t>
              </w:r>
            </w:hyperlink>
          </w:p>
        </w:tc>
      </w:tr>
      <w:tr>
        <w:trPr>
          <w:cantSplit/>
        </w:trPr>
        <w:tc>
          <w:tcPr>
            <w:tcW w:type="dxa" w:w="964"/>
            <w:vAlign w:val="top"/>
          </w:tcPr>
          <w:p>
            <w:r/>
            <w:r>
              <w:rPr>
                <w:rFonts w:ascii="Times New Roman" w:hAnsi="Times New Roman"/>
                <w:sz w:val="14"/>
              </w:rPr>
              <w:t>IX-08</w:t>
            </w:r>
          </w:p>
        </w:tc>
        <w:tc>
          <w:tcPr>
            <w:tcW w:type="dxa" w:w="1134"/>
            <w:vAlign w:val="top"/>
          </w:tcPr>
          <w:p>
            <w:r/>
            <w:r>
              <w:rPr>
                <w:rFonts w:ascii="Times New Roman" w:hAnsi="Times New Roman"/>
                <w:sz w:val="14"/>
              </w:rPr>
              <w:t>Bab IX</w:t>
            </w:r>
          </w:p>
        </w:tc>
        <w:tc>
          <w:tcPr>
            <w:tcW w:type="dxa" w:w="5102"/>
            <w:vAlign w:val="top"/>
          </w:tcPr>
          <w:p>
            <w:r/>
            <w:r>
              <w:rPr>
                <w:rFonts w:ascii="Times New Roman" w:hAnsi="Times New Roman"/>
                <w:sz w:val="14"/>
              </w:rPr>
              <w:t>Kerangka penulis</w:t>
            </w:r>
          </w:p>
        </w:tc>
        <w:tc>
          <w:tcPr>
            <w:tcW w:type="dxa" w:w="1984"/>
            <w:vAlign w:val="top"/>
          </w:tcPr>
          <w:p>
            <w:r/>
            <w:r>
              <w:rPr>
                <w:rFonts w:ascii="Times New Roman" w:hAnsi="Times New Roman"/>
                <w:sz w:val="14"/>
              </w:rPr>
              <w:t>KERANGKA PENULIS</w:t>
            </w:r>
          </w:p>
        </w:tc>
        <w:tc>
          <w:tcPr>
            <w:tcW w:type="dxa" w:w="1417"/>
            <w:vAlign w:val="top"/>
          </w:tcPr>
          <w:p>
            <w:r/>
            <w:r>
              <w:rPr>
                <w:rFonts w:ascii="Times New Roman" w:hAnsi="Times New Roman"/>
                <w:sz w:val="14"/>
              </w:rPr>
              <w:t>2026</w:t>
            </w:r>
          </w:p>
        </w:tc>
        <w:tc>
          <w:tcPr>
            <w:tcW w:type="dxa" w:w="4535"/>
            <w:vAlign w:val="top"/>
          </w:tcPr>
          <w:p>
            <w:r/>
            <w:r>
              <w:rPr>
                <w:rFonts w:ascii="Times New Roman" w:hAnsi="Times New Roman"/>
                <w:sz w:val="14"/>
              </w:rPr>
              <w:t>Alat analitis untuk prioritization, reservation value, public wealth at risk dan governance challenge; bukan definisi hukum kerugian negara.</w:t>
            </w:r>
          </w:p>
        </w:tc>
        <w:tc>
          <w:tcPr>
            <w:tcW w:type="dxa" w:w="5102"/>
            <w:vAlign w:val="top"/>
          </w:tcPr>
          <w:p>
            <w:r/>
            <w:r>
              <w:rPr>
                <w:rFonts w:ascii="Times New Roman" w:hAnsi="Times New Roman"/>
                <w:sz w:val="14"/>
              </w:rPr>
              <w:t>—</w:t>
            </w:r>
          </w:p>
        </w:tc>
      </w:tr>
      <w:tr>
        <w:trPr>
          <w:cantSplit/>
        </w:trPr>
        <w:tc>
          <w:tcPr>
            <w:tcW w:type="dxa" w:w="964"/>
            <w:vAlign w:val="top"/>
          </w:tcPr>
          <w:p>
            <w:r/>
            <w:r>
              <w:rPr>
                <w:rFonts w:ascii="Times New Roman" w:hAnsi="Times New Roman"/>
                <w:sz w:val="14"/>
              </w:rPr>
              <w:t>X-01</w:t>
            </w:r>
          </w:p>
        </w:tc>
        <w:tc>
          <w:tcPr>
            <w:tcW w:type="dxa" w:w="1134"/>
            <w:vAlign w:val="top"/>
          </w:tcPr>
          <w:p>
            <w:r/>
            <w:r>
              <w:rPr>
                <w:rFonts w:ascii="Times New Roman" w:hAnsi="Times New Roman"/>
                <w:sz w:val="14"/>
              </w:rPr>
              <w:t>Bab X</w:t>
            </w:r>
          </w:p>
        </w:tc>
        <w:tc>
          <w:tcPr>
            <w:tcW w:type="dxa" w:w="5102"/>
            <w:vAlign w:val="top"/>
          </w:tcPr>
          <w:p>
            <w:r/>
            <w:r>
              <w:rPr>
                <w:rFonts w:ascii="Times New Roman" w:hAnsi="Times New Roman"/>
                <w:sz w:val="14"/>
              </w:rPr>
              <w:t>UU Nomor 1 Tahun 2023 tentang KUHP</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2023/berlaku 2026</w:t>
            </w:r>
          </w:p>
        </w:tc>
        <w:tc>
          <w:tcPr>
            <w:tcW w:type="dxa" w:w="4535"/>
            <w:vAlign w:val="top"/>
          </w:tcPr>
          <w:p>
            <w:r/>
            <w:r>
              <w:rPr>
                <w:rFonts w:ascii="Times New Roman" w:hAnsi="Times New Roman"/>
                <w:sz w:val="14"/>
              </w:rPr>
              <w:t>KUHP berlaku 2 Januari 2026; rujukan tindak pidana dibaca bersama penyesuaian 2026.</w:t>
            </w:r>
          </w:p>
        </w:tc>
        <w:tc>
          <w:tcPr>
            <w:tcW w:type="dxa" w:w="5102"/>
            <w:vAlign w:val="top"/>
          </w:tcPr>
          <w:p>
            <w:r/>
            <w:hyperlink r:id="rId53">
              <w:r>
                <w:rPr>
                  <w:color w:val="0563C1"/>
                  <w:u w:val="single"/>
                </w:rPr>
                <w:t>https://peraturan.bpk.go.id/Details/234935/uu-no-1-tahun-2023</w:t>
              </w:r>
            </w:hyperlink>
          </w:p>
        </w:tc>
      </w:tr>
      <w:tr>
        <w:trPr>
          <w:cantSplit/>
        </w:trPr>
        <w:tc>
          <w:tcPr>
            <w:tcW w:type="dxa" w:w="964"/>
            <w:vAlign w:val="top"/>
          </w:tcPr>
          <w:p>
            <w:r/>
            <w:r>
              <w:rPr>
                <w:rFonts w:ascii="Times New Roman" w:hAnsi="Times New Roman"/>
                <w:sz w:val="14"/>
              </w:rPr>
              <w:t>X-02</w:t>
            </w:r>
          </w:p>
        </w:tc>
        <w:tc>
          <w:tcPr>
            <w:tcW w:type="dxa" w:w="1134"/>
            <w:vAlign w:val="top"/>
          </w:tcPr>
          <w:p>
            <w:r/>
            <w:r>
              <w:rPr>
                <w:rFonts w:ascii="Times New Roman" w:hAnsi="Times New Roman"/>
                <w:sz w:val="14"/>
              </w:rPr>
              <w:t>Bab X</w:t>
            </w:r>
          </w:p>
        </w:tc>
        <w:tc>
          <w:tcPr>
            <w:tcW w:type="dxa" w:w="5102"/>
            <w:vAlign w:val="top"/>
          </w:tcPr>
          <w:p>
            <w:r/>
            <w:r>
              <w:rPr>
                <w:rFonts w:ascii="Times New Roman" w:hAnsi="Times New Roman"/>
                <w:sz w:val="14"/>
              </w:rPr>
              <w:t>UU Nomor 1 Tahun 2026 tentang Penyesuaian Pidana</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2026</w:t>
            </w:r>
          </w:p>
        </w:tc>
        <w:tc>
          <w:tcPr>
            <w:tcW w:type="dxa" w:w="4535"/>
            <w:vAlign w:val="top"/>
          </w:tcPr>
          <w:p>
            <w:r/>
            <w:r>
              <w:rPr>
                <w:rFonts w:ascii="Times New Roman" w:hAnsi="Times New Roman"/>
                <w:sz w:val="14"/>
              </w:rPr>
              <w:t>Penyesuaian ketentuan pidana sehubungan berlakunya KUHP Nasional.</w:t>
            </w:r>
          </w:p>
        </w:tc>
        <w:tc>
          <w:tcPr>
            <w:tcW w:type="dxa" w:w="5102"/>
            <w:vAlign w:val="top"/>
          </w:tcPr>
          <w:p>
            <w:r/>
            <w:hyperlink r:id="rId54">
              <w:r>
                <w:rPr>
                  <w:color w:val="0563C1"/>
                  <w:u w:val="single"/>
                </w:rPr>
                <w:t>https://peraturan.bpk.go.id/Details/337869/uu-no-1-tahun-2026</w:t>
              </w:r>
            </w:hyperlink>
          </w:p>
        </w:tc>
      </w:tr>
      <w:tr>
        <w:trPr>
          <w:cantSplit/>
        </w:trPr>
        <w:tc>
          <w:tcPr>
            <w:tcW w:type="dxa" w:w="964"/>
            <w:vAlign w:val="top"/>
          </w:tcPr>
          <w:p>
            <w:r/>
            <w:r>
              <w:rPr>
                <w:rFonts w:ascii="Times New Roman" w:hAnsi="Times New Roman"/>
                <w:sz w:val="14"/>
              </w:rPr>
              <w:t>X-03</w:t>
            </w:r>
          </w:p>
        </w:tc>
        <w:tc>
          <w:tcPr>
            <w:tcW w:type="dxa" w:w="1134"/>
            <w:vAlign w:val="top"/>
          </w:tcPr>
          <w:p>
            <w:r/>
            <w:r>
              <w:rPr>
                <w:rFonts w:ascii="Times New Roman" w:hAnsi="Times New Roman"/>
                <w:sz w:val="14"/>
              </w:rPr>
              <w:t>Bab X</w:t>
            </w:r>
          </w:p>
        </w:tc>
        <w:tc>
          <w:tcPr>
            <w:tcW w:type="dxa" w:w="5102"/>
            <w:vAlign w:val="top"/>
          </w:tcPr>
          <w:p>
            <w:r/>
            <w:r>
              <w:rPr>
                <w:rFonts w:ascii="Times New Roman" w:hAnsi="Times New Roman"/>
                <w:sz w:val="14"/>
              </w:rPr>
              <w:t>UU Nomor 31 Tahun 1999 jo. UU Nomor 20 Tahun 2001</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1999/2001</w:t>
            </w:r>
          </w:p>
        </w:tc>
        <w:tc>
          <w:tcPr>
            <w:tcW w:type="dxa" w:w="4535"/>
            <w:vAlign w:val="top"/>
          </w:tcPr>
          <w:p>
            <w:r/>
            <w:r>
              <w:rPr>
                <w:rFonts w:ascii="Times New Roman" w:hAnsi="Times New Roman"/>
                <w:sz w:val="14"/>
              </w:rPr>
              <w:t>Kerangka Tipikor yang tetap relevan bersama perubahan/penyesuaian KUHP.</w:t>
            </w:r>
          </w:p>
        </w:tc>
        <w:tc>
          <w:tcPr>
            <w:tcW w:type="dxa" w:w="5102"/>
            <w:vAlign w:val="top"/>
          </w:tcPr>
          <w:p>
            <w:r/>
            <w:hyperlink r:id="rId55">
              <w:r>
                <w:rPr>
                  <w:color w:val="0563C1"/>
                  <w:u w:val="single"/>
                </w:rPr>
                <w:t>https://peraturan.bpk.go.id/Details/45350/uu-no-31-tahun-1999</w:t>
              </w:r>
            </w:hyperlink>
          </w:p>
        </w:tc>
      </w:tr>
      <w:tr>
        <w:trPr>
          <w:cantSplit/>
        </w:trPr>
        <w:tc>
          <w:tcPr>
            <w:tcW w:type="dxa" w:w="964"/>
            <w:vAlign w:val="top"/>
          </w:tcPr>
          <w:p>
            <w:r/>
            <w:r>
              <w:rPr>
                <w:rFonts w:ascii="Times New Roman" w:hAnsi="Times New Roman"/>
                <w:sz w:val="14"/>
              </w:rPr>
              <w:t>X-04</w:t>
            </w:r>
          </w:p>
        </w:tc>
        <w:tc>
          <w:tcPr>
            <w:tcW w:type="dxa" w:w="1134"/>
            <w:vAlign w:val="top"/>
          </w:tcPr>
          <w:p>
            <w:r/>
            <w:r>
              <w:rPr>
                <w:rFonts w:ascii="Times New Roman" w:hAnsi="Times New Roman"/>
                <w:sz w:val="14"/>
              </w:rPr>
              <w:t>Bab X</w:t>
            </w:r>
          </w:p>
        </w:tc>
        <w:tc>
          <w:tcPr>
            <w:tcW w:type="dxa" w:w="5102"/>
            <w:vAlign w:val="top"/>
          </w:tcPr>
          <w:p>
            <w:r/>
            <w:r>
              <w:rPr>
                <w:rFonts w:ascii="Times New Roman" w:hAnsi="Times New Roman"/>
                <w:sz w:val="14"/>
              </w:rPr>
              <w:t>UU Nomor 3 Tahun 2026 tentang Pelindungan Saksi dan Korban</w:t>
            </w:r>
          </w:p>
        </w:tc>
        <w:tc>
          <w:tcPr>
            <w:tcW w:type="dxa" w:w="1984"/>
            <w:vAlign w:val="top"/>
          </w:tcPr>
          <w:p>
            <w:r/>
            <w:r>
              <w:rPr>
                <w:rFonts w:ascii="Times New Roman" w:hAnsi="Times New Roman"/>
                <w:sz w:val="14"/>
              </w:rPr>
              <w:t>REGULASI PRIMER</w:t>
            </w:r>
          </w:p>
        </w:tc>
        <w:tc>
          <w:tcPr>
            <w:tcW w:type="dxa" w:w="1417"/>
            <w:vAlign w:val="top"/>
          </w:tcPr>
          <w:p>
            <w:r/>
            <w:r>
              <w:rPr>
                <w:rFonts w:ascii="Times New Roman" w:hAnsi="Times New Roman"/>
                <w:sz w:val="14"/>
              </w:rPr>
              <w:t>2026</w:t>
            </w:r>
          </w:p>
        </w:tc>
        <w:tc>
          <w:tcPr>
            <w:tcW w:type="dxa" w:w="4535"/>
            <w:vAlign w:val="top"/>
          </w:tcPr>
          <w:p>
            <w:r/>
            <w:r>
              <w:rPr>
                <w:rFonts w:ascii="Times New Roman" w:hAnsi="Times New Roman"/>
                <w:sz w:val="14"/>
              </w:rPr>
              <w:t>Basis rezim pelindungan saksi/korban yang disebut berlaku sejak 20 Mei 2026.</w:t>
            </w:r>
          </w:p>
        </w:tc>
        <w:tc>
          <w:tcPr>
            <w:tcW w:type="dxa" w:w="5102"/>
            <w:vAlign w:val="top"/>
          </w:tcPr>
          <w:p>
            <w:r/>
            <w:hyperlink r:id="rId56">
              <w:r>
                <w:rPr>
                  <w:color w:val="0563C1"/>
                  <w:u w:val="single"/>
                </w:rPr>
                <w:t>https://peraturan.bpk.go.id/Details/349942/uu-no-3-tahun-2026</w:t>
              </w:r>
            </w:hyperlink>
          </w:p>
        </w:tc>
      </w:tr>
      <w:tr>
        <w:trPr>
          <w:cantSplit/>
        </w:trPr>
        <w:tc>
          <w:tcPr>
            <w:tcW w:type="dxa" w:w="964"/>
            <w:vAlign w:val="top"/>
          </w:tcPr>
          <w:p>
            <w:r/>
            <w:r>
              <w:rPr>
                <w:rFonts w:ascii="Times New Roman" w:hAnsi="Times New Roman"/>
                <w:sz w:val="14"/>
              </w:rPr>
              <w:t>X-05</w:t>
            </w:r>
          </w:p>
        </w:tc>
        <w:tc>
          <w:tcPr>
            <w:tcW w:type="dxa" w:w="1134"/>
            <w:vAlign w:val="top"/>
          </w:tcPr>
          <w:p>
            <w:r/>
            <w:r>
              <w:rPr>
                <w:rFonts w:ascii="Times New Roman" w:hAnsi="Times New Roman"/>
                <w:sz w:val="14"/>
              </w:rPr>
              <w:t>Bab X</w:t>
            </w:r>
          </w:p>
        </w:tc>
        <w:tc>
          <w:tcPr>
            <w:tcW w:type="dxa" w:w="5102"/>
            <w:vAlign w:val="top"/>
          </w:tcPr>
          <w:p>
            <w:r/>
            <w:r>
              <w:rPr>
                <w:rFonts w:ascii="Times New Roman" w:hAnsi="Times New Roman"/>
                <w:sz w:val="14"/>
              </w:rPr>
              <w:t>Kerangka penulis</w:t>
            </w:r>
          </w:p>
        </w:tc>
        <w:tc>
          <w:tcPr>
            <w:tcW w:type="dxa" w:w="1984"/>
            <w:vAlign w:val="top"/>
          </w:tcPr>
          <w:p>
            <w:r/>
            <w:r>
              <w:rPr>
                <w:rFonts w:ascii="Times New Roman" w:hAnsi="Times New Roman"/>
                <w:sz w:val="14"/>
              </w:rPr>
              <w:t>KERANGKA PENULIS</w:t>
            </w:r>
          </w:p>
        </w:tc>
        <w:tc>
          <w:tcPr>
            <w:tcW w:type="dxa" w:w="1417"/>
            <w:vAlign w:val="top"/>
          </w:tcPr>
          <w:p>
            <w:r/>
            <w:r>
              <w:rPr>
                <w:rFonts w:ascii="Times New Roman" w:hAnsi="Times New Roman"/>
                <w:sz w:val="14"/>
              </w:rPr>
              <w:t>2026</w:t>
            </w:r>
          </w:p>
        </w:tc>
        <w:tc>
          <w:tcPr>
            <w:tcW w:type="dxa" w:w="4535"/>
            <w:vAlign w:val="top"/>
          </w:tcPr>
          <w:p>
            <w:r/>
            <w:r>
              <w:rPr>
                <w:rFonts w:ascii="Times New Roman" w:hAnsi="Times New Roman"/>
                <w:sz w:val="14"/>
              </w:rPr>
              <w:t>Bukan definisi hukum kerugian negara dan bukan formula pidana/akuntansi; digunakan untuk diagnosis sistem dan redesign.</w:t>
            </w:r>
          </w:p>
        </w:tc>
        <w:tc>
          <w:tcPr>
            <w:tcW w:type="dxa" w:w="5102"/>
            <w:vAlign w:val="top"/>
          </w:tcPr>
          <w:p>
            <w:r/>
            <w:r>
              <w:rPr>
                <w:rFonts w:ascii="Times New Roman" w:hAnsi="Times New Roman"/>
                <w:sz w:val="14"/>
              </w:rPr>
              <w:t>—</w:t>
            </w:r>
          </w:p>
        </w:tc>
      </w:tr>
    </w:tbl>
    <w:p>
      <w:pPr>
        <w:pStyle w:val="Heading1"/>
      </w:pPr>
      <w:r>
        <w:t>VERSION CONTROL &amp; UPDATE PROTOCOL</w:t>
      </w:r>
    </w:p>
    <w:tbl>
      <w:tblPr>
        <w:tblStyle w:val="TableGrid"/>
        <w:tblW w:type="auto" w:w="0"/>
        <w:jc w:val="center"/>
        <w:tblLook w:firstColumn="1" w:firstRow="1" w:lastColumn="0" w:lastRow="0" w:noHBand="0" w:noVBand="1" w:val="04A0"/>
      </w:tblPr>
      <w:tblGrid>
        <w:gridCol w:w="7739"/>
        <w:gridCol w:w="7739"/>
      </w:tblGrid>
      <w:tr>
        <w:tc>
          <w:tcPr>
            <w:tcW w:type="dxa" w:w="2835"/>
            <w:shd w:fill="D9EAF7"/>
            <w:vAlign w:val="center"/>
          </w:tcPr>
          <w:p>
            <w:pPr>
              <w:jc w:val="center"/>
            </w:pPr>
            <w:r>
              <w:rPr>
                <w:rFonts w:ascii="Times New Roman" w:hAnsi="Times New Roman"/>
                <w:b/>
                <w:sz w:val="17"/>
              </w:rPr>
              <w:t>Item</w:t>
            </w:r>
          </w:p>
        </w:tc>
        <w:tc>
          <w:tcPr>
            <w:tcW w:type="dxa" w:w="12472"/>
            <w:shd w:fill="D9EAF7"/>
            <w:vAlign w:val="center"/>
          </w:tcPr>
          <w:p>
            <w:pPr>
              <w:jc w:val="center"/>
            </w:pPr>
            <w:r>
              <w:rPr>
                <w:rFonts w:ascii="Times New Roman" w:hAnsi="Times New Roman"/>
                <w:b/>
                <w:sz w:val="17"/>
              </w:rPr>
              <w:t>Aturan V3 Final</w:t>
            </w:r>
          </w:p>
        </w:tc>
      </w:tr>
      <w:tr>
        <w:trPr>
          <w:cantSplit/>
        </w:trPr>
        <w:tc>
          <w:tcPr>
            <w:tcW w:type="dxa" w:w="2835"/>
            <w:vAlign w:val="top"/>
          </w:tcPr>
          <w:p>
            <w:r/>
            <w:r>
              <w:rPr>
                <w:rFonts w:ascii="Times New Roman" w:hAnsi="Times New Roman"/>
                <w:sz w:val="17"/>
              </w:rPr>
              <w:t>Cut-off</w:t>
            </w:r>
          </w:p>
        </w:tc>
        <w:tc>
          <w:tcPr>
            <w:tcW w:type="dxa" w:w="12472"/>
            <w:vAlign w:val="top"/>
          </w:tcPr>
          <w:p>
            <w:r/>
            <w:r>
              <w:rPr>
                <w:rFonts w:ascii="Times New Roman" w:hAnsi="Times New Roman"/>
                <w:sz w:val="17"/>
              </w:rPr>
              <w:t>7 Oktober 2026.</w:t>
            </w:r>
          </w:p>
        </w:tc>
      </w:tr>
      <w:tr>
        <w:trPr>
          <w:cantSplit/>
        </w:trPr>
        <w:tc>
          <w:tcPr>
            <w:tcW w:type="dxa" w:w="2835"/>
            <w:vAlign w:val="top"/>
          </w:tcPr>
          <w:p>
            <w:r/>
            <w:r>
              <w:rPr>
                <w:rFonts w:ascii="Times New Roman" w:hAnsi="Times New Roman"/>
                <w:sz w:val="17"/>
              </w:rPr>
              <w:t>Data resmi</w:t>
            </w:r>
          </w:p>
        </w:tc>
        <w:tc>
          <w:tcPr>
            <w:tcW w:type="dxa" w:w="12472"/>
            <w:vAlign w:val="top"/>
          </w:tcPr>
          <w:p>
            <w:r/>
            <w:r>
              <w:rPr>
                <w:rFonts w:ascii="Times New Roman" w:hAnsi="Times New Roman"/>
                <w:sz w:val="17"/>
              </w:rPr>
              <w:t>Dapat diperbarui di portal dengan tanggal dan source note; nilai dalam buku cetak tetap diberi konteks tahun/versinya.</w:t>
            </w:r>
          </w:p>
        </w:tc>
      </w:tr>
      <w:tr>
        <w:trPr>
          <w:cantSplit/>
        </w:trPr>
        <w:tc>
          <w:tcPr>
            <w:tcW w:type="dxa" w:w="2835"/>
            <w:vAlign w:val="top"/>
          </w:tcPr>
          <w:p>
            <w:r/>
            <w:r>
              <w:rPr>
                <w:rFonts w:ascii="Times New Roman" w:hAnsi="Times New Roman"/>
                <w:sz w:val="17"/>
              </w:rPr>
              <w:t>Regulasi</w:t>
            </w:r>
          </w:p>
        </w:tc>
        <w:tc>
          <w:tcPr>
            <w:tcW w:type="dxa" w:w="12472"/>
            <w:vAlign w:val="top"/>
          </w:tcPr>
          <w:p>
            <w:r/>
            <w:r>
              <w:rPr>
                <w:rFonts w:ascii="Times New Roman" w:hAnsi="Times New Roman"/>
                <w:sz w:val="17"/>
              </w:rPr>
              <w:t>Setiap pembaruan harus mencatat status: berlaku, diubah, dicabut, atau diganti.</w:t>
            </w:r>
          </w:p>
        </w:tc>
      </w:tr>
      <w:tr>
        <w:trPr>
          <w:cantSplit/>
        </w:trPr>
        <w:tc>
          <w:tcPr>
            <w:tcW w:type="dxa" w:w="2835"/>
            <w:vAlign w:val="top"/>
          </w:tcPr>
          <w:p>
            <w:r/>
            <w:r>
              <w:rPr>
                <w:rFonts w:ascii="Times New Roman" w:hAnsi="Times New Roman"/>
                <w:sz w:val="17"/>
              </w:rPr>
              <w:t>Kerangka penulis</w:t>
            </w:r>
          </w:p>
        </w:tc>
        <w:tc>
          <w:tcPr>
            <w:tcW w:type="dxa" w:w="12472"/>
            <w:vAlign w:val="top"/>
          </w:tcPr>
          <w:p>
            <w:r/>
            <w:r>
              <w:rPr>
                <w:rFonts w:ascii="Times New Roman" w:hAnsi="Times New Roman"/>
                <w:sz w:val="17"/>
              </w:rPr>
              <w:t>Tidak diubah apabila perubahan menggeser tesis/konsep utama; perubahan substantif menunggu edisi berikutnya.</w:t>
            </w:r>
          </w:p>
        </w:tc>
      </w:tr>
      <w:tr>
        <w:trPr>
          <w:cantSplit/>
        </w:trPr>
        <w:tc>
          <w:tcPr>
            <w:tcW w:type="dxa" w:w="2835"/>
            <w:vAlign w:val="top"/>
          </w:tcPr>
          <w:p>
            <w:r/>
            <w:r>
              <w:rPr>
                <w:rFonts w:ascii="Times New Roman" w:hAnsi="Times New Roman"/>
                <w:sz w:val="17"/>
              </w:rPr>
              <w:t>Ilustrasi Bab VII-VIII</w:t>
            </w:r>
          </w:p>
        </w:tc>
        <w:tc>
          <w:tcPr>
            <w:tcW w:type="dxa" w:w="12472"/>
            <w:vAlign w:val="top"/>
          </w:tcPr>
          <w:p>
            <w:r/>
            <w:r>
              <w:rPr>
                <w:rFonts w:ascii="Times New Roman" w:hAnsi="Times New Roman"/>
                <w:sz w:val="17"/>
              </w:rPr>
              <w:t>Tidak pernah dipulihkan ke angka/nama sumber. Portal hanya menyimpan angka ilustratif final, formula, metodologi, dan template.</w:t>
            </w:r>
          </w:p>
        </w:tc>
      </w:tr>
      <w:tr>
        <w:trPr>
          <w:cantSplit/>
        </w:trPr>
        <w:tc>
          <w:tcPr>
            <w:tcW w:type="dxa" w:w="2835"/>
            <w:vAlign w:val="top"/>
          </w:tcPr>
          <w:p>
            <w:r/>
            <w:r>
              <w:rPr>
                <w:rFonts w:ascii="Times New Roman" w:hAnsi="Times New Roman"/>
                <w:sz w:val="17"/>
              </w:rPr>
              <w:t>Referensi baru</w:t>
            </w:r>
          </w:p>
        </w:tc>
        <w:tc>
          <w:tcPr>
            <w:tcW w:type="dxa" w:w="12472"/>
            <w:vAlign w:val="top"/>
          </w:tcPr>
          <w:p>
            <w:r/>
            <w:r>
              <w:rPr>
                <w:rFonts w:ascii="Times New Roman" w:hAnsi="Times New Roman"/>
                <w:sz w:val="17"/>
              </w:rPr>
              <w:t>Masuk ke update log dengan alasan relevansi, bab terdampak, dan reviewer.</w:t>
            </w:r>
          </w:p>
        </w:tc>
      </w:tr>
    </w:tbl>
    <w:sectPr w:rsidR="00FC693F" w:rsidRPr="0006063C" w:rsidSect="00034616">
      <w:pgSz w:w="16838" w:h="11906" w:orient="landscape"/>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color w:val="606060"/>
        <w:sz w:val="16"/>
      </w:rPr>
      <w:t>Digital Companion V3 Final - Dari Uang Menjadi Nilai | Source cut-off 07.10.2026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1F4E7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1F4E7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1F4E79"/>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jpk.kemenkeu.go.id/?p=60363" TargetMode="External"/><Relationship Id="rId11" Type="http://schemas.openxmlformats.org/officeDocument/2006/relationships/hyperlink" Target="https://djpb.kemenkeu.go.id/kppn/penerimaan/id/data-publikasi/berita-terbaru/3012-pemerintah-sampaikan-ruu-pertanggungjawaban-apbn-2025%2C-lkpp-kembali-raih-opini-wtp.html" TargetMode="External"/><Relationship Id="rId12" Type="http://schemas.openxmlformats.org/officeDocument/2006/relationships/hyperlink" Target="https://www.bpk.go.id/lkpp" TargetMode="External"/><Relationship Id="rId13" Type="http://schemas.openxmlformats.org/officeDocument/2006/relationships/hyperlink" Target="https://jdih.jakarta.go.id/dokumen/detail/14203/peraturan-daerah-nomor-9-tahun-2024tentang-anggaran-pendapatan-dan-belanja-daerah-tahun-anggaran-2025" TargetMode="External"/><Relationship Id="rId14" Type="http://schemas.openxmlformats.org/officeDocument/2006/relationships/hyperlink" Target="https://www.jakarta.go.id/siaran-pers/6761-SP-HMS-06-2026" TargetMode="External"/><Relationship Id="rId15" Type="http://schemas.openxmlformats.org/officeDocument/2006/relationships/hyperlink" Target="https://peraturan.bpk.go.id/Details/5095/pp-no-71-tahun-2010" TargetMode="External"/><Relationship Id="rId16" Type="http://schemas.openxmlformats.org/officeDocument/2006/relationships/hyperlink" Target="https://jdih.kemenkeu.go.id/dok/pmk-100-tahun-2025" TargetMode="External"/><Relationship Id="rId17" Type="http://schemas.openxmlformats.org/officeDocument/2006/relationships/hyperlink" Target="https://peraturan.bpk.go.id" TargetMode="External"/><Relationship Id="rId18" Type="http://schemas.openxmlformats.org/officeDocument/2006/relationships/hyperlink" Target="https://markmoore.scholars.harvard.edu/topics/public-management" TargetMode="External"/><Relationship Id="rId19" Type="http://schemas.openxmlformats.org/officeDocument/2006/relationships/hyperlink" Target="https://pajak.go.id/id/siaran-pers/penerimaan-kanwil-djp-wajib-pajak-besar-2024-kembali-lampaui-target" TargetMode="External"/><Relationship Id="rId20" Type="http://schemas.openxmlformats.org/officeDocument/2006/relationships/hyperlink" Target="https://jdih.kemenkeu.go.id/dok/pp-20-tahun-2026/summary" TargetMode="External"/><Relationship Id="rId21" Type="http://schemas.openxmlformats.org/officeDocument/2006/relationships/hyperlink" Target="https://peraturan.bpk.go.id/Details/185162/uu-no-7-tahun-2021" TargetMode="External"/><Relationship Id="rId22" Type="http://schemas.openxmlformats.org/officeDocument/2006/relationships/hyperlink" Target="https://jdih.kemenkeu.go.id/dok/pmk-131-tahun-2024" TargetMode="External"/><Relationship Id="rId23" Type="http://schemas.openxmlformats.org/officeDocument/2006/relationships/hyperlink" Target="https://anggaran.kemenkeu.go.id/api/Medias/507d21b0-2abe-4d75-86aa-dc3efe505843" TargetMode="External"/><Relationship Id="rId24" Type="http://schemas.openxmlformats.org/officeDocument/2006/relationships/hyperlink" Target="https://www.oecd.org/content/dam/oecd/en/publications/reports/2017/04/international-vat-gst-guidelines_g1g75db4/9789264271401-en.pdf" TargetMode="External"/><Relationship Id="rId25" Type="http://schemas.openxmlformats.org/officeDocument/2006/relationships/hyperlink" Target="https://peraturan.bpk.go.id/Details/195696/uu-no-1-tahun-2022" TargetMode="External"/><Relationship Id="rId26" Type="http://schemas.openxmlformats.org/officeDocument/2006/relationships/hyperlink" Target="https://peraturan.bpk.go.id/Details/252130/pp-no-35-tahun-2023" TargetMode="External"/><Relationship Id="rId27" Type="http://schemas.openxmlformats.org/officeDocument/2006/relationships/hyperlink" Target="https://www.bps.go.id/id/publication/2025/12/30/48e29af53d4127452b148791/sistem-terintegrasi-neraca-lingkungan-dan-ekonomi-indonesia-2020-2024.html" TargetMode="External"/><Relationship Id="rId28" Type="http://schemas.openxmlformats.org/officeDocument/2006/relationships/hyperlink" Target="https://ideas.repec.org/a/aea/aecrev/v67y1977i5p972-74.html" TargetMode="External"/><Relationship Id="rId29" Type="http://schemas.openxmlformats.org/officeDocument/2006/relationships/hyperlink" Target="https://esdm.go.id/id/publikasi/laporan-kinerja" TargetMode="External"/><Relationship Id="rId30" Type="http://schemas.openxmlformats.org/officeDocument/2006/relationships/hyperlink" Target="https://peraturan.bpk.go.id/Details/90041/uu-no-9-tahun-2018" TargetMode="External"/><Relationship Id="rId31" Type="http://schemas.openxmlformats.org/officeDocument/2006/relationships/hyperlink" Target="https://peraturan.bpk.go.id/Details/331115/pp-no-44-tahun-2025" TargetMode="External"/><Relationship Id="rId32" Type="http://schemas.openxmlformats.org/officeDocument/2006/relationships/hyperlink" Target="https://peraturan.bpk.go.id/Details/320049/pp-no-19-tahun-2025" TargetMode="External"/><Relationship Id="rId33" Type="http://schemas.openxmlformats.org/officeDocument/2006/relationships/hyperlink" Target="https://peraturan.bpk.go.id/Details/320043" TargetMode="External"/><Relationship Id="rId34" Type="http://schemas.openxmlformats.org/officeDocument/2006/relationships/hyperlink" Target="https://peraturan.bpk.go.id/Details/305311/perpres-no-132-tahun-2024" TargetMode="External"/><Relationship Id="rId35" Type="http://schemas.openxmlformats.org/officeDocument/2006/relationships/hyperlink" Target="https://jdih.kemenkeu.go.id/dok/pmk-69-tahun-2025/view" TargetMode="External"/><Relationship Id="rId36" Type="http://schemas.openxmlformats.org/officeDocument/2006/relationships/hyperlink" Target="https://peraturan.bpk.go.id/Details/92813/inpres-no-8-tahun-2018" TargetMode="External"/><Relationship Id="rId37" Type="http://schemas.openxmlformats.org/officeDocument/2006/relationships/hyperlink" Target="https://www.ipsasb.org/publications/ipsas-51-tangible-natural-resources-held-conservation" TargetMode="External"/><Relationship Id="rId38" Type="http://schemas.openxmlformats.org/officeDocument/2006/relationships/hyperlink" Target="https://www.ipsasb.org/publications/ipsas-39-employee-benefits-2" TargetMode="External"/><Relationship Id="rId39" Type="http://schemas.openxmlformats.org/officeDocument/2006/relationships/hyperlink" Target="https://www.imf.org/en/publications/fm/issues/2018/10/04/fiscal-monitor-october-2018" TargetMode="External"/><Relationship Id="rId40" Type="http://schemas.openxmlformats.org/officeDocument/2006/relationships/hyperlink" Target="https://www.kemenkeu.go.id/informasi-publik/publikasi/berita-utama/Menkeu-Suahasil-Rapur-RUU-APBN-2027" TargetMode="External"/><Relationship Id="rId41" Type="http://schemas.openxmlformats.org/officeDocument/2006/relationships/hyperlink" Target="https://www.imf.org/en/publications/books/issues/2022/07/12/pima-handbook-public-investment-management-assessment-1st-edition-50166" TargetMode="External"/><Relationship Id="rId42" Type="http://schemas.openxmlformats.org/officeDocument/2006/relationships/hyperlink" Target="https://infrastructuregovern.imf.org/content/PIMA/Home/PimaTool/What-is-PIMA.html" TargetMode="External"/><Relationship Id="rId43" Type="http://schemas.openxmlformats.org/officeDocument/2006/relationships/hyperlink" Target="https://peraturan.bpk.go.id/Details/49641/pp-no-44-tahun-2005" TargetMode="External"/><Relationship Id="rId44" Type="http://schemas.openxmlformats.org/officeDocument/2006/relationships/hyperlink" Target="https://peraturan.bpk.go.id/Details/64765/pp-no-54-tahun-2017" TargetMode="External"/><Relationship Id="rId45" Type="http://schemas.openxmlformats.org/officeDocument/2006/relationships/hyperlink" Target="https://www.ekon.go.id/publikasi/detail/6784/konsolidasi-kredit-program-pemerintah-2026-perkuat-pedoman-pelaksanaan-kredit-program-optimalkan-penyaluran-dan-wujudkan-pertumbuhan-ekonomi-inklusif-berbasis-usaha-mikro-dan-kecil" TargetMode="External"/><Relationship Id="rId46" Type="http://schemas.openxmlformats.org/officeDocument/2006/relationships/hyperlink" Target="https://jdih.lkpp.go.id/regulation/peraturan-presiden/peraturan-presiden-nomor-46-tahun-2025" TargetMode="External"/><Relationship Id="rId47" Type="http://schemas.openxmlformats.org/officeDocument/2006/relationships/hyperlink" Target="https://jdih.lkpp.go.id/regulation/peraturan-lkpp/peraturan-lkpp-nomor-2-tahun-2026" TargetMode="External"/><Relationship Id="rId48" Type="http://schemas.openxmlformats.org/officeDocument/2006/relationships/hyperlink" Target="https://cms.kpk.go.id/storage/9967/LAPORAN-KAJIAN-TATA-KELOLA-E-PROCUREMENT-DALAM-PENGADAAN-BARANG-DAN-JASA-TAHUN-2025.pdf" TargetMode="External"/><Relationship Id="rId49" Type="http://schemas.openxmlformats.org/officeDocument/2006/relationships/hyperlink" Target="https://cms.kpk.go.id/storage/9535/Laporan-Tahunan-KPK-2025-Website.pdf" TargetMode="External"/><Relationship Id="rId50" Type="http://schemas.openxmlformats.org/officeDocument/2006/relationships/hyperlink" Target="https://aclc.kpk.go.id/materi-pembelajaran/hukum/buku/panduan-asesmen" TargetMode="External"/><Relationship Id="rId51" Type="http://schemas.openxmlformats.org/officeDocument/2006/relationships/hyperlink" Target="https://peraturan.bpk.go.id/Details/331105/pp-no-39-tahun-2025" TargetMode="External"/><Relationship Id="rId52" Type="http://schemas.openxmlformats.org/officeDocument/2006/relationships/hyperlink" Target="https://peraturan.bpk.go.id/Details/73583/perpres-no-13-tahun-2018" TargetMode="External"/><Relationship Id="rId53" Type="http://schemas.openxmlformats.org/officeDocument/2006/relationships/hyperlink" Target="https://peraturan.bpk.go.id/Details/234935/uu-no-1-tahun-2023" TargetMode="External"/><Relationship Id="rId54" Type="http://schemas.openxmlformats.org/officeDocument/2006/relationships/hyperlink" Target="https://peraturan.bpk.go.id/Details/337869/uu-no-1-tahun-2026" TargetMode="External"/><Relationship Id="rId55" Type="http://schemas.openxmlformats.org/officeDocument/2006/relationships/hyperlink" Target="https://peraturan.bpk.go.id/Details/45350/uu-no-31-tahun-1999" TargetMode="External"/><Relationship Id="rId56" Type="http://schemas.openxmlformats.org/officeDocument/2006/relationships/hyperlink" Target="https://peraturan.bpk.go.id/Details/349942/uu-no-3-tahun-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